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666627">
      <w:pPr>
        <w:spacing w:line="360" w:lineRule="auto"/>
        <w:jc w:val="center"/>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6"/>
                    <a:stretch>
                      <a:fillRect/>
                    </a:stretch>
                  </pic:blipFill>
                  <pic:spPr>
                    <a:xfrm>
                      <a:off x="0" y="0"/>
                      <a:ext cx="12700" cy="12700"/>
                    </a:xfrm>
                    <a:prstGeom prst="rect">
                      <a:avLst/>
                    </a:prstGeom>
                  </pic:spPr>
                </pic:pic>
              </a:graphicData>
            </a:graphic>
          </wp:inline>
        </w:drawing>
      </w:r>
      <w:r>
        <w:rPr>
          <w:rFonts w:eastAsia="黑体"/>
          <w:color w:val="000000" w:themeColor="text1"/>
          <w:sz w:val="32"/>
          <w:szCs w:val="32"/>
          <w14:textFill>
            <w14:solidFill>
              <w14:schemeClr w14:val="tx1"/>
            </w14:solidFill>
          </w14:textFill>
        </w:rPr>
        <w:t>2026年高考江苏卷物理高考真题</w:t>
      </w:r>
      <w:bookmarkStart w:id="0" w:name="_GoBack"/>
      <w:bookmarkEnd w:id="0"/>
    </w:p>
    <w:p w14:paraId="0CFB6C50">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学校:___________姓名：___________班级：___________考号：___________</w:t>
      </w:r>
    </w:p>
    <w:p w14:paraId="2476F143">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一、单选题</w:t>
      </w:r>
    </w:p>
    <w:p w14:paraId="021253A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1．平面内存在垂直平面向外的匀强磁场，一电子垂直磁场射入，不计空气阻力。如图所示，则电子偏转的轨迹可能是(　　)</w:t>
      </w:r>
    </w:p>
    <w:p w14:paraId="14203657">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333500" cy="1323975"/>
            <wp:effectExtent l="0" t="0" r="0" b="0"/>
            <wp:docPr id="100003" name="图片 100003" descr="@@@cc4ec4de-92fb-4a3a-b28e-9c64c7e590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cc4ec4de-92fb-4a3a-b28e-9c64c7e5901f"/>
                    <pic:cNvPicPr>
                      <a:picLocks noChangeAspect="1"/>
                    </pic:cNvPicPr>
                  </pic:nvPicPr>
                  <pic:blipFill>
                    <a:blip r:embed="rId7"/>
                    <a:stretch>
                      <a:fillRect/>
                    </a:stretch>
                  </pic:blipFill>
                  <pic:spPr>
                    <a:xfrm>
                      <a:off x="0" y="0"/>
                      <a:ext cx="1333500" cy="1323975"/>
                    </a:xfrm>
                    <a:prstGeom prst="rect">
                      <a:avLst/>
                    </a:prstGeom>
                  </pic:spPr>
                </pic:pic>
              </a:graphicData>
            </a:graphic>
          </wp:inline>
        </w:drawing>
      </w:r>
    </w:p>
    <w:p w14:paraId="32D16713">
      <w:pPr>
        <w:tabs>
          <w:tab w:val="left" w:pos="2078"/>
          <w:tab w:val="left" w:pos="4156"/>
          <w:tab w:val="left" w:pos="6234"/>
        </w:tabs>
        <w:spacing w:line="360" w:lineRule="auto"/>
        <w:jc w:val="left"/>
        <w:rPr>
          <w:i/>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i/>
          <w:color w:val="000000" w:themeColor="text1"/>
          <w:szCs w:val="21"/>
          <w14:textFill>
            <w14:solidFill>
              <w14:schemeClr w14:val="tx1"/>
            </w14:solidFill>
          </w14:textFill>
        </w:rPr>
        <w:t>a</w:t>
      </w:r>
      <w:r>
        <w:rPr>
          <w:i/>
          <w:color w:val="000000" w:themeColor="text1"/>
          <w:szCs w:val="21"/>
          <w14:textFill>
            <w14:solidFill>
              <w14:schemeClr w14:val="tx1"/>
            </w14:solidFill>
          </w14:textFill>
        </w:rPr>
        <w:tab/>
      </w:r>
      <w:r>
        <w:rPr>
          <w:color w:val="000000" w:themeColor="text1"/>
          <w:szCs w:val="21"/>
          <w14:textFill>
            <w14:solidFill>
              <w14:schemeClr w14:val="tx1"/>
            </w14:solidFill>
          </w14:textFill>
        </w:rPr>
        <w:t>B．</w:t>
      </w:r>
      <w:r>
        <w:rPr>
          <w:i/>
          <w:color w:val="000000" w:themeColor="text1"/>
          <w:szCs w:val="21"/>
          <w14:textFill>
            <w14:solidFill>
              <w14:schemeClr w14:val="tx1"/>
            </w14:solidFill>
          </w14:textFill>
        </w:rPr>
        <w:t>b</w:t>
      </w:r>
      <w:r>
        <w:rPr>
          <w:i/>
          <w:color w:val="000000" w:themeColor="text1"/>
          <w:szCs w:val="21"/>
          <w14:textFill>
            <w14:solidFill>
              <w14:schemeClr w14:val="tx1"/>
            </w14:solidFill>
          </w14:textFill>
        </w:rPr>
        <w:tab/>
      </w:r>
      <w:r>
        <w:rPr>
          <w:color w:val="000000" w:themeColor="text1"/>
          <w:szCs w:val="21"/>
          <w14:textFill>
            <w14:solidFill>
              <w14:schemeClr w14:val="tx1"/>
            </w14:solidFill>
          </w14:textFill>
        </w:rPr>
        <w:t>C．</w:t>
      </w:r>
      <w:r>
        <w:rPr>
          <w:i/>
          <w:color w:val="000000" w:themeColor="text1"/>
          <w:szCs w:val="21"/>
          <w14:textFill>
            <w14:solidFill>
              <w14:schemeClr w14:val="tx1"/>
            </w14:solidFill>
          </w14:textFill>
        </w:rPr>
        <w:t>c</w:t>
      </w:r>
      <w:r>
        <w:rPr>
          <w:i/>
          <w:color w:val="000000" w:themeColor="text1"/>
          <w:szCs w:val="21"/>
          <w14:textFill>
            <w14:solidFill>
              <w14:schemeClr w14:val="tx1"/>
            </w14:solidFill>
          </w14:textFill>
        </w:rPr>
        <w:tab/>
      </w:r>
      <w:r>
        <w:rPr>
          <w:color w:val="000000" w:themeColor="text1"/>
          <w:szCs w:val="21"/>
          <w14:textFill>
            <w14:solidFill>
              <w14:schemeClr w14:val="tx1"/>
            </w14:solidFill>
          </w14:textFill>
        </w:rPr>
        <w:t>D．</w:t>
      </w:r>
      <w:r>
        <w:rPr>
          <w:i/>
          <w:color w:val="000000" w:themeColor="text1"/>
          <w:szCs w:val="21"/>
          <w14:textFill>
            <w14:solidFill>
              <w14:schemeClr w14:val="tx1"/>
            </w14:solidFill>
          </w14:textFill>
        </w:rPr>
        <w:t>d</w:t>
      </w:r>
    </w:p>
    <w:p w14:paraId="266C089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w:t>
      </w:r>
    </w:p>
    <w:p w14:paraId="570FE72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【解析】由于不计空气阻力，电子只受洛伦兹力在匀强磁场中做匀速圆周运动，根据左手定则可知电子所受洛伦兹力向左，故电子的轨迹向左偏转，且电子偏转的轨迹为圆弧的一部分。故选A。</w:t>
      </w:r>
    </w:p>
    <w:p w14:paraId="1822CAC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2．使用高压输电，若发电站的输出功率不变，输电线的总电阻不变，将输电线中的电流降为原来的一半，则输电线上损耗的功率变为原来的(　　)</w:t>
      </w:r>
    </w:p>
    <w:p w14:paraId="09C9524A">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A．2倍</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C．不变</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D．4倍</w:t>
      </w:r>
    </w:p>
    <w:p w14:paraId="0B66A43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【答案】B</w:t>
      </w:r>
    </w:p>
    <w:p w14:paraId="55C4B03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【解析】由题知输电电流降为原来的</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，即</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I</m:t>
        </m:r>
      </m:oMath>
      <w:r>
        <w:rPr>
          <w:color w:val="000000" w:themeColor="text1"/>
          <w:szCs w:val="21"/>
          <w14:textFill>
            <w14:solidFill>
              <w14:schemeClr w14:val="tx1"/>
            </w14:solidFill>
          </w14:textFill>
        </w:rPr>
        <w:t>；设输电线总电阻为</w:t>
      </w:r>
      <w:r>
        <w:rPr>
          <w:i/>
          <w:color w:val="000000" w:themeColor="text1"/>
          <w:szCs w:val="21"/>
          <w14:textFill>
            <w14:solidFill>
              <w14:schemeClr w14:val="tx1"/>
            </w14:solidFill>
          </w14:textFill>
        </w:rPr>
        <w:t>R</w:t>
      </w:r>
      <w:r>
        <w:rPr>
          <w:color w:val="000000" w:themeColor="text1"/>
          <w:szCs w:val="21"/>
          <w14:textFill>
            <w14:solidFill>
              <w14:schemeClr w14:val="tx1"/>
            </w14:solidFill>
          </w14:textFill>
        </w:rPr>
        <w:t>，则输电线上损耗的功率分别为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损</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损</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R=</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损</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，即输电线中的电流降为原来的一半时输电线上损耗功率变为原来的</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。故选B。</w:t>
      </w:r>
    </w:p>
    <w:p w14:paraId="75A9B62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3．氢原子基态轨道的能量为</w:t>
      </w:r>
      <w:r>
        <w:rPr>
          <w:i/>
          <w:color w:val="000000" w:themeColor="text1"/>
          <w:szCs w:val="21"/>
          <w14:textFill>
            <w14:solidFill>
              <w14:schemeClr w14:val="tx1"/>
            </w14:solidFill>
          </w14:textFill>
        </w:rPr>
        <w:t>E</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，激发态轨道的能量为</w:t>
      </w:r>
      <w:r>
        <w:rPr>
          <w:i/>
          <w:color w:val="000000" w:themeColor="text1"/>
          <w:szCs w:val="21"/>
          <w14:textFill>
            <w14:solidFill>
              <w14:schemeClr w14:val="tx1"/>
            </w14:solidFill>
          </w14:textFill>
        </w:rPr>
        <w:t>E</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，已知普朗克常量为</w:t>
      </w:r>
      <w:r>
        <w:rPr>
          <w:i/>
          <w:color w:val="000000" w:themeColor="text1"/>
          <w:szCs w:val="21"/>
          <w14:textFill>
            <w14:solidFill>
              <w14:schemeClr w14:val="tx1"/>
            </w14:solidFill>
          </w14:textFill>
        </w:rPr>
        <w:t>h</w:t>
      </w:r>
      <w:r>
        <w:rPr>
          <w:color w:val="000000" w:themeColor="text1"/>
          <w:szCs w:val="21"/>
          <w14:textFill>
            <w14:solidFill>
              <w14:schemeClr w14:val="tx1"/>
            </w14:solidFill>
          </w14:textFill>
        </w:rPr>
        <w:t>。则电子从该激发态跃迁至基态轨道释放的光子频率为(　　)</w:t>
      </w:r>
    </w:p>
    <w:p w14:paraId="0ABEC806">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i/>
          <w:color w:val="000000" w:themeColor="text1"/>
          <w:szCs w:val="21"/>
          <w14:textFill>
            <w14:solidFill>
              <w14:schemeClr w14:val="tx1"/>
            </w14:solidFill>
          </w14:textFill>
        </w:rPr>
        <w:t>E</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ab/>
      </w:r>
      <w:r>
        <w:rPr>
          <w:color w:val="000000" w:themeColor="text1"/>
          <w:szCs w:val="21"/>
          <w14:textFill>
            <w14:solidFill>
              <w14:schemeClr w14:val="tx1"/>
            </w14:solidFill>
          </w14:textFill>
        </w:rPr>
        <w:t>B．</w:t>
      </w:r>
      <w:r>
        <w:rPr>
          <w:i/>
          <w:color w:val="000000" w:themeColor="text1"/>
          <w:szCs w:val="21"/>
          <w14:textFill>
            <w14:solidFill>
              <w14:schemeClr w14:val="tx1"/>
            </w14:solidFill>
          </w14:textFill>
        </w:rPr>
        <w:t>E</w:t>
      </w:r>
      <w:r>
        <w:rPr>
          <w:color w:val="000000" w:themeColor="text1"/>
          <w:szCs w:val="21"/>
          <w:vertAlign w:val="subscript"/>
          <w14:textFill>
            <w14:solidFill>
              <w14:schemeClr w14:val="tx1"/>
            </w14:solidFill>
          </w14:textFill>
        </w:rPr>
        <w:t>2</w:t>
      </w:r>
      <w:r>
        <w:rPr>
          <w:i/>
          <w:color w:val="000000" w:themeColor="text1"/>
          <w:szCs w:val="21"/>
          <w14:textFill>
            <w14:solidFill>
              <w14:schemeClr w14:val="tx1"/>
            </w14:solidFill>
          </w14:textFill>
        </w:rPr>
        <w:tab/>
      </w:r>
      <w:r>
        <w:rPr>
          <w:color w:val="000000" w:themeColor="text1"/>
          <w:szCs w:val="21"/>
          <w14:textFill>
            <w14:solidFill>
              <w14:schemeClr w14:val="tx1"/>
            </w14:solidFill>
          </w14:textFill>
        </w:rPr>
        <w:t>C．</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h</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h</m:t>
            </m:r>
            <m:ctrlPr>
              <w:rPr>
                <w:rFonts w:ascii="Cambria Math" w:hAnsi="Cambria Math"/>
                <w:color w:val="000000" w:themeColor="text1"/>
                <w:szCs w:val="21"/>
                <w14:textFill>
                  <w14:solidFill>
                    <w14:schemeClr w14:val="tx1"/>
                  </w14:solidFill>
                </w14:textFill>
              </w:rPr>
            </m:ctrlPr>
          </m:den>
        </m:f>
      </m:oMath>
    </w:p>
    <w:p w14:paraId="540C426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【答案】D</w:t>
      </w:r>
    </w:p>
    <w:p w14:paraId="3764045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【解析】根据玻尔能级理论，可知氢原子从高能级(激发态)跃迁至低能级(基态)时，辐射出的光子能量等于两能级的能量差，即</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E=</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，再结合光子能量与频率的关系</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E=hν</m:t>
        </m:r>
      </m:oMath>
      <w:r>
        <w:rPr>
          <w:color w:val="000000" w:themeColor="text1"/>
          <w:szCs w:val="21"/>
          <w14:textFill>
            <w14:solidFill>
              <w14:schemeClr w14:val="tx1"/>
            </w14:solidFill>
          </w14:textFill>
        </w:rPr>
        <w:t>，联立可得电子从该激发态跃迁至基态轨道释放的光子频率为</w:t>
      </w:r>
      <m:oMath>
        <m:r>
          <m:rPr/>
          <w:rPr>
            <w:rFonts w:ascii="Cambria Math" w:hAnsi="Cambria Math"/>
            <w:color w:val="000000" w:themeColor="text1"/>
            <w:szCs w:val="21"/>
            <w14:textFill>
              <w14:solidFill>
                <w14:schemeClr w14:val="tx1"/>
              </w14:solidFill>
            </w14:textFill>
          </w:rPr>
          <m:t>ν=</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h</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，故选D。</w:t>
      </w:r>
    </w:p>
    <w:p w14:paraId="13082D4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4．如图所示，小明跳起从同一高度将排球水平击出三次，排球分别落于</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三点，不计空气阻力，关于该过程，下列说法正确的是(　　)</w:t>
      </w:r>
    </w:p>
    <w:p w14:paraId="3BBE50FE">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047875" cy="1704975"/>
            <wp:effectExtent l="0" t="0" r="0" b="0"/>
            <wp:docPr id="100005" name="图片 100005" descr="@@@d8159258-5a4f-415e-9aa7-4fd855e0c0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8159258-5a4f-415e-9aa7-4fd855e0c0d3"/>
                    <pic:cNvPicPr>
                      <a:picLocks noChangeAspect="1"/>
                    </pic:cNvPicPr>
                  </pic:nvPicPr>
                  <pic:blipFill>
                    <a:blip r:embed="rId8"/>
                    <a:stretch>
                      <a:fillRect/>
                    </a:stretch>
                  </pic:blipFill>
                  <pic:spPr>
                    <a:xfrm>
                      <a:off x="0" y="0"/>
                      <a:ext cx="2047875" cy="1704975"/>
                    </a:xfrm>
                    <a:prstGeom prst="rect">
                      <a:avLst/>
                    </a:prstGeom>
                  </pic:spPr>
                </pic:pic>
              </a:graphicData>
            </a:graphic>
          </wp:inline>
        </w:drawing>
      </w:r>
    </w:p>
    <w:p w14:paraId="0F35E356">
      <w:pPr>
        <w:spacing w:line="360" w:lineRule="auto"/>
        <w:jc w:val="left"/>
        <w:rPr>
          <w:i/>
          <w:color w:val="000000" w:themeColor="text1"/>
          <w:szCs w:val="21"/>
          <w14:textFill>
            <w14:solidFill>
              <w14:schemeClr w14:val="tx1"/>
            </w14:solidFill>
          </w14:textFill>
        </w:rPr>
      </w:pPr>
      <w:r>
        <w:rPr>
          <w:color w:val="000000" w:themeColor="text1"/>
          <w:szCs w:val="21"/>
          <w14:textFill>
            <w14:solidFill>
              <w14:schemeClr w14:val="tx1"/>
            </w14:solidFill>
          </w14:textFill>
        </w:rPr>
        <w:t>A．排球的飞行时间满足</w:t>
      </w:r>
      <w:r>
        <w:rPr>
          <w:i/>
          <w:color w:val="000000" w:themeColor="text1"/>
          <w:szCs w:val="21"/>
          <w14:textFill>
            <w14:solidFill>
              <w14:schemeClr w14:val="tx1"/>
            </w14:solidFill>
          </w14:textFill>
        </w:rPr>
        <w:t>t</w:t>
      </w:r>
      <w:r>
        <w:rPr>
          <w:i/>
          <w:color w:val="000000" w:themeColor="text1"/>
          <w:szCs w:val="21"/>
          <w:vertAlign w:val="subscript"/>
          <w14:textFill>
            <w14:solidFill>
              <w14:schemeClr w14:val="tx1"/>
            </w14:solidFill>
          </w14:textFill>
        </w:rPr>
        <w:t>a</w:t>
      </w:r>
      <w:r>
        <w:rPr>
          <w:color w:val="000000" w:themeColor="text1"/>
          <w:szCs w:val="21"/>
          <w14:textFill>
            <w14:solidFill>
              <w14:schemeClr w14:val="tx1"/>
            </w14:solidFill>
          </w14:textFill>
        </w:rPr>
        <w:t xml:space="preserve"> &gt; </w:t>
      </w:r>
      <w:r>
        <w:rPr>
          <w:i/>
          <w:color w:val="000000" w:themeColor="text1"/>
          <w:szCs w:val="21"/>
          <w14:textFill>
            <w14:solidFill>
              <w14:schemeClr w14:val="tx1"/>
            </w14:solidFill>
          </w14:textFill>
        </w:rPr>
        <w:t>t</w:t>
      </w:r>
      <w:r>
        <w:rPr>
          <w:i/>
          <w:color w:val="000000" w:themeColor="text1"/>
          <w:szCs w:val="21"/>
          <w:vertAlign w:val="subscript"/>
          <w14:textFill>
            <w14:solidFill>
              <w14:schemeClr w14:val="tx1"/>
            </w14:solidFill>
          </w14:textFill>
        </w:rPr>
        <w:t>b</w:t>
      </w:r>
      <w:r>
        <w:rPr>
          <w:color w:val="000000" w:themeColor="text1"/>
          <w:szCs w:val="21"/>
          <w14:textFill>
            <w14:solidFill>
              <w14:schemeClr w14:val="tx1"/>
            </w14:solidFill>
          </w14:textFill>
        </w:rPr>
        <w:t xml:space="preserve"> &gt; </w:t>
      </w:r>
      <w:r>
        <w:rPr>
          <w:i/>
          <w:color w:val="000000" w:themeColor="text1"/>
          <w:szCs w:val="21"/>
          <w14:textFill>
            <w14:solidFill>
              <w14:schemeClr w14:val="tx1"/>
            </w14:solidFill>
          </w14:textFill>
        </w:rPr>
        <w:t>t</w:t>
      </w:r>
      <w:r>
        <w:rPr>
          <w:i/>
          <w:color w:val="000000" w:themeColor="text1"/>
          <w:szCs w:val="21"/>
          <w:vertAlign w:val="subscript"/>
          <w14:textFill>
            <w14:solidFill>
              <w14:schemeClr w14:val="tx1"/>
            </w14:solidFill>
          </w14:textFill>
        </w:rPr>
        <w:t>c</w:t>
      </w:r>
    </w:p>
    <w:p w14:paraId="215F2386">
      <w:pPr>
        <w:spacing w:line="360" w:lineRule="auto"/>
        <w:jc w:val="left"/>
        <w:rPr>
          <w:i/>
          <w:color w:val="000000" w:themeColor="text1"/>
          <w:szCs w:val="21"/>
          <w14:textFill>
            <w14:solidFill>
              <w14:schemeClr w14:val="tx1"/>
            </w14:solidFill>
          </w14:textFill>
        </w:rPr>
      </w:pPr>
      <w:r>
        <w:rPr>
          <w:color w:val="000000" w:themeColor="text1"/>
          <w:szCs w:val="21"/>
          <w14:textFill>
            <w14:solidFill>
              <w14:schemeClr w14:val="tx1"/>
            </w14:solidFill>
          </w14:textFill>
        </w:rPr>
        <w:t>B．排球的飞行时间满足</w:t>
      </w:r>
      <w:r>
        <w:rPr>
          <w:i/>
          <w:color w:val="000000" w:themeColor="text1"/>
          <w:szCs w:val="21"/>
          <w14:textFill>
            <w14:solidFill>
              <w14:schemeClr w14:val="tx1"/>
            </w14:solidFill>
          </w14:textFill>
        </w:rPr>
        <w:t>t</w:t>
      </w:r>
      <w:r>
        <w:rPr>
          <w:i/>
          <w:color w:val="000000" w:themeColor="text1"/>
          <w:szCs w:val="21"/>
          <w:vertAlign w:val="subscript"/>
          <w14:textFill>
            <w14:solidFill>
              <w14:schemeClr w14:val="tx1"/>
            </w14:solidFill>
          </w14:textFill>
        </w:rPr>
        <w:t>a</w:t>
      </w:r>
      <w:r>
        <w:rPr>
          <w:color w:val="000000" w:themeColor="text1"/>
          <w:szCs w:val="21"/>
          <w14:textFill>
            <w14:solidFill>
              <w14:schemeClr w14:val="tx1"/>
            </w14:solidFill>
          </w14:textFill>
        </w:rPr>
        <w:t xml:space="preserve"> &lt; </w:t>
      </w:r>
      <w:r>
        <w:rPr>
          <w:i/>
          <w:color w:val="000000" w:themeColor="text1"/>
          <w:szCs w:val="21"/>
          <w14:textFill>
            <w14:solidFill>
              <w14:schemeClr w14:val="tx1"/>
            </w14:solidFill>
          </w14:textFill>
        </w:rPr>
        <w:t>t</w:t>
      </w:r>
      <w:r>
        <w:rPr>
          <w:i/>
          <w:color w:val="000000" w:themeColor="text1"/>
          <w:szCs w:val="21"/>
          <w:vertAlign w:val="subscript"/>
          <w14:textFill>
            <w14:solidFill>
              <w14:schemeClr w14:val="tx1"/>
            </w14:solidFill>
          </w14:textFill>
        </w:rPr>
        <w:t>b</w:t>
      </w:r>
      <w:r>
        <w:rPr>
          <w:color w:val="000000" w:themeColor="text1"/>
          <w:szCs w:val="21"/>
          <w14:textFill>
            <w14:solidFill>
              <w14:schemeClr w14:val="tx1"/>
            </w14:solidFill>
          </w14:textFill>
        </w:rPr>
        <w:t xml:space="preserve"> &lt; </w:t>
      </w:r>
      <w:r>
        <w:rPr>
          <w:i/>
          <w:color w:val="000000" w:themeColor="text1"/>
          <w:szCs w:val="21"/>
          <w14:textFill>
            <w14:solidFill>
              <w14:schemeClr w14:val="tx1"/>
            </w14:solidFill>
          </w14:textFill>
        </w:rPr>
        <w:t>t</w:t>
      </w:r>
      <w:r>
        <w:rPr>
          <w:i/>
          <w:color w:val="000000" w:themeColor="text1"/>
          <w:szCs w:val="21"/>
          <w:vertAlign w:val="subscript"/>
          <w14:textFill>
            <w14:solidFill>
              <w14:schemeClr w14:val="tx1"/>
            </w14:solidFill>
          </w14:textFill>
        </w:rPr>
        <w:t>c</w:t>
      </w:r>
    </w:p>
    <w:p w14:paraId="59E297E1">
      <w:pPr>
        <w:spacing w:line="360" w:lineRule="auto"/>
        <w:jc w:val="left"/>
        <w:rPr>
          <w:i/>
          <w:color w:val="000000" w:themeColor="text1"/>
          <w:szCs w:val="21"/>
          <w14:textFill>
            <w14:solidFill>
              <w14:schemeClr w14:val="tx1"/>
            </w14:solidFill>
          </w14:textFill>
        </w:rPr>
      </w:pPr>
      <w:r>
        <w:rPr>
          <w:color w:val="000000" w:themeColor="text1"/>
          <w:szCs w:val="21"/>
          <w14:textFill>
            <w14:solidFill>
              <w14:schemeClr w14:val="tx1"/>
            </w14:solidFill>
          </w14:textFill>
        </w:rPr>
        <w:t>C．排球的初速度满足</w:t>
      </w:r>
      <w:r>
        <w:rPr>
          <w:rFonts w:ascii="Book Antiqua" w:hAnsi="Book Antiqua"/>
          <w:i/>
          <w:color w:val="000000" w:themeColor="text1"/>
          <w:szCs w:val="21"/>
          <w14:textFill>
            <w14:solidFill>
              <w14:schemeClr w14:val="tx1"/>
            </w14:solidFill>
          </w14:textFill>
        </w:rPr>
        <w:t>v</w:t>
      </w:r>
      <w:r>
        <w:rPr>
          <w:i/>
          <w:color w:val="000000" w:themeColor="text1"/>
          <w:szCs w:val="21"/>
          <w:vertAlign w:val="subscript"/>
          <w14:textFill>
            <w14:solidFill>
              <w14:schemeClr w14:val="tx1"/>
            </w14:solidFill>
          </w14:textFill>
        </w:rPr>
        <w:t>a</w:t>
      </w:r>
      <w:r>
        <w:rPr>
          <w:color w:val="000000" w:themeColor="text1"/>
          <w:szCs w:val="21"/>
          <w14:textFill>
            <w14:solidFill>
              <w14:schemeClr w14:val="tx1"/>
            </w14:solidFill>
          </w14:textFill>
        </w:rPr>
        <w:t xml:space="preserve"> &lt; </w:t>
      </w:r>
      <w:r>
        <w:rPr>
          <w:rFonts w:ascii="Book Antiqua" w:hAnsi="Book Antiqua"/>
          <w:i/>
          <w:color w:val="000000" w:themeColor="text1"/>
          <w:szCs w:val="21"/>
          <w14:textFill>
            <w14:solidFill>
              <w14:schemeClr w14:val="tx1"/>
            </w14:solidFill>
          </w14:textFill>
        </w:rPr>
        <w:t>v</w:t>
      </w:r>
      <w:r>
        <w:rPr>
          <w:i/>
          <w:color w:val="000000" w:themeColor="text1"/>
          <w:szCs w:val="21"/>
          <w:vertAlign w:val="subscript"/>
          <w14:textFill>
            <w14:solidFill>
              <w14:schemeClr w14:val="tx1"/>
            </w14:solidFill>
          </w14:textFill>
        </w:rPr>
        <w:t>b</w:t>
      </w:r>
      <w:r>
        <w:rPr>
          <w:color w:val="000000" w:themeColor="text1"/>
          <w:szCs w:val="21"/>
          <w14:textFill>
            <w14:solidFill>
              <w14:schemeClr w14:val="tx1"/>
            </w14:solidFill>
          </w14:textFill>
        </w:rPr>
        <w:t xml:space="preserve"> &lt; </w:t>
      </w:r>
      <w:r>
        <w:rPr>
          <w:rFonts w:ascii="Book Antiqua" w:hAnsi="Book Antiqua"/>
          <w:i/>
          <w:color w:val="000000" w:themeColor="text1"/>
          <w:szCs w:val="21"/>
          <w14:textFill>
            <w14:solidFill>
              <w14:schemeClr w14:val="tx1"/>
            </w14:solidFill>
          </w14:textFill>
        </w:rPr>
        <w:t>v</w:t>
      </w:r>
      <w:r>
        <w:rPr>
          <w:i/>
          <w:color w:val="000000" w:themeColor="text1"/>
          <w:szCs w:val="21"/>
          <w:vertAlign w:val="subscript"/>
          <w14:textFill>
            <w14:solidFill>
              <w14:schemeClr w14:val="tx1"/>
            </w14:solidFill>
          </w14:textFill>
        </w:rPr>
        <w:t>c</w:t>
      </w:r>
    </w:p>
    <w:p w14:paraId="64E98886">
      <w:pPr>
        <w:spacing w:line="360" w:lineRule="auto"/>
        <w:jc w:val="left"/>
        <w:rPr>
          <w:i/>
          <w:color w:val="000000" w:themeColor="text1"/>
          <w:szCs w:val="21"/>
          <w14:textFill>
            <w14:solidFill>
              <w14:schemeClr w14:val="tx1"/>
            </w14:solidFill>
          </w14:textFill>
        </w:rPr>
      </w:pPr>
      <w:r>
        <w:rPr>
          <w:color w:val="000000" w:themeColor="text1"/>
          <w:szCs w:val="21"/>
          <w14:textFill>
            <w14:solidFill>
              <w14:schemeClr w14:val="tx1"/>
            </w14:solidFill>
          </w14:textFill>
        </w:rPr>
        <w:t>D．排球的初速度满足</w:t>
      </w:r>
      <w:r>
        <w:rPr>
          <w:rFonts w:ascii="Book Antiqua" w:hAnsi="Book Antiqua"/>
          <w:i/>
          <w:color w:val="000000" w:themeColor="text1"/>
          <w:szCs w:val="21"/>
          <w14:textFill>
            <w14:solidFill>
              <w14:schemeClr w14:val="tx1"/>
            </w14:solidFill>
          </w14:textFill>
        </w:rPr>
        <w:t>v</w:t>
      </w:r>
      <w:r>
        <w:rPr>
          <w:i/>
          <w:color w:val="000000" w:themeColor="text1"/>
          <w:szCs w:val="21"/>
          <w:vertAlign w:val="subscript"/>
          <w14:textFill>
            <w14:solidFill>
              <w14:schemeClr w14:val="tx1"/>
            </w14:solidFill>
          </w14:textFill>
        </w:rPr>
        <w:t>a</w:t>
      </w:r>
      <w:r>
        <w:rPr>
          <w:i/>
          <w:color w:val="000000" w:themeColor="text1"/>
          <w:szCs w:val="21"/>
          <w14:textFill>
            <w14:solidFill>
              <w14:schemeClr w14:val="tx1"/>
            </w14:solidFill>
          </w14:textFill>
        </w:rPr>
        <w:t xml:space="preserve"> = </w:t>
      </w:r>
      <w:r>
        <w:rPr>
          <w:rFonts w:ascii="Book Antiqua" w:hAnsi="Book Antiqua"/>
          <w:i/>
          <w:color w:val="000000" w:themeColor="text1"/>
          <w:szCs w:val="21"/>
          <w14:textFill>
            <w14:solidFill>
              <w14:schemeClr w14:val="tx1"/>
            </w14:solidFill>
          </w14:textFill>
        </w:rPr>
        <w:t>v</w:t>
      </w:r>
      <w:r>
        <w:rPr>
          <w:i/>
          <w:color w:val="000000" w:themeColor="text1"/>
          <w:szCs w:val="21"/>
          <w:vertAlign w:val="subscript"/>
          <w14:textFill>
            <w14:solidFill>
              <w14:schemeClr w14:val="tx1"/>
            </w14:solidFill>
          </w14:textFill>
        </w:rPr>
        <w:t>b</w:t>
      </w:r>
      <w:r>
        <w:rPr>
          <w:i/>
          <w:color w:val="000000" w:themeColor="text1"/>
          <w:szCs w:val="21"/>
          <w14:textFill>
            <w14:solidFill>
              <w14:schemeClr w14:val="tx1"/>
            </w14:solidFill>
          </w14:textFill>
        </w:rPr>
        <w:t xml:space="preserve"> = </w:t>
      </w:r>
      <w:r>
        <w:rPr>
          <w:rFonts w:ascii="Book Antiqua" w:hAnsi="Book Antiqua"/>
          <w:i/>
          <w:color w:val="000000" w:themeColor="text1"/>
          <w:szCs w:val="21"/>
          <w14:textFill>
            <w14:solidFill>
              <w14:schemeClr w14:val="tx1"/>
            </w14:solidFill>
          </w14:textFill>
        </w:rPr>
        <w:t>v</w:t>
      </w:r>
      <w:r>
        <w:rPr>
          <w:i/>
          <w:color w:val="000000" w:themeColor="text1"/>
          <w:szCs w:val="21"/>
          <w:vertAlign w:val="subscript"/>
          <w14:textFill>
            <w14:solidFill>
              <w14:schemeClr w14:val="tx1"/>
            </w14:solidFill>
          </w14:textFill>
        </w:rPr>
        <w:t>c</w:t>
      </w:r>
    </w:p>
    <w:p w14:paraId="6E276B3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【答案】C</w:t>
      </w:r>
    </w:p>
    <w:p w14:paraId="15FCB4E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【解析】排球水平击出后做平抛运动，竖直方向上，根据自由落体运动的位移-时间关系，有</w:t>
      </w:r>
      <m:oMath>
        <m:r>
          <m:rPr/>
          <w:rPr>
            <w:rFonts w:ascii="Cambria Math" w:hAnsi="Cambria Math"/>
            <w:color w:val="000000" w:themeColor="text1"/>
            <w:szCs w:val="21"/>
            <w14:textFill>
              <w14:solidFill>
                <w14:schemeClr w14:val="tx1"/>
              </w14:solidFill>
            </w14:textFill>
          </w:rPr>
          <m:t>h=</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g</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，可得排球飞行的时间为</w:t>
      </w:r>
      <m:oMath>
        <m:r>
          <m:rPr/>
          <w:rPr>
            <w:rFonts w:ascii="Cambria Math" w:hAnsi="Cambria Math"/>
            <w:color w:val="000000" w:themeColor="text1"/>
            <w:szCs w:val="21"/>
            <w14:textFill>
              <w14:solidFill>
                <w14:schemeClr w14:val="tx1"/>
              </w14:solidFill>
            </w14:textFill>
          </w:rPr>
          <m:t>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h</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g</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；因为排球从同一高度抛出，且落在同一水平面上，所以下落高度</w:t>
      </w:r>
      <w:r>
        <w:rPr>
          <w:i/>
          <w:color w:val="000000" w:themeColor="text1"/>
          <w:szCs w:val="21"/>
          <w14:textFill>
            <w14:solidFill>
              <w14:schemeClr w14:val="tx1"/>
            </w14:solidFill>
          </w14:textFill>
        </w:rPr>
        <w:t>h</w:t>
      </w:r>
      <w:r>
        <w:rPr>
          <w:color w:val="000000" w:themeColor="text1"/>
          <w:szCs w:val="21"/>
          <w14:textFill>
            <w14:solidFill>
              <w14:schemeClr w14:val="tx1"/>
            </w14:solidFill>
          </w14:textFill>
        </w:rPr>
        <w:t>相同，故三次飞行的时间相等，即</w:t>
      </w:r>
      <w:r>
        <w:rPr>
          <w:i/>
          <w:color w:val="000000" w:themeColor="text1"/>
          <w:szCs w:val="21"/>
          <w14:textFill>
            <w14:solidFill>
              <w14:schemeClr w14:val="tx1"/>
            </w14:solidFill>
          </w14:textFill>
        </w:rPr>
        <w:t>t</w:t>
      </w:r>
      <w:r>
        <w:rPr>
          <w:i/>
          <w:color w:val="000000" w:themeColor="text1"/>
          <w:szCs w:val="21"/>
          <w:vertAlign w:val="subscript"/>
          <w14:textFill>
            <w14:solidFill>
              <w14:schemeClr w14:val="tx1"/>
            </w14:solidFill>
          </w14:textFill>
        </w:rPr>
        <w:t>a</w:t>
      </w:r>
      <w:r>
        <w:rPr>
          <w:i/>
          <w:color w:val="000000" w:themeColor="text1"/>
          <w:szCs w:val="21"/>
          <w14:textFill>
            <w14:solidFill>
              <w14:schemeClr w14:val="tx1"/>
            </w14:solidFill>
          </w14:textFill>
        </w:rPr>
        <w:t xml:space="preserve"> = t</w:t>
      </w:r>
      <w:r>
        <w:rPr>
          <w:i/>
          <w:color w:val="000000" w:themeColor="text1"/>
          <w:szCs w:val="21"/>
          <w:vertAlign w:val="subscript"/>
          <w14:textFill>
            <w14:solidFill>
              <w14:schemeClr w14:val="tx1"/>
            </w14:solidFill>
          </w14:textFill>
        </w:rPr>
        <w:t>b</w:t>
      </w:r>
      <w:r>
        <w:rPr>
          <w:i/>
          <w:color w:val="000000" w:themeColor="text1"/>
          <w:szCs w:val="21"/>
          <w14:textFill>
            <w14:solidFill>
              <w14:schemeClr w14:val="tx1"/>
            </w14:solidFill>
          </w14:textFill>
        </w:rPr>
        <w:t xml:space="preserve"> = t</w:t>
      </w:r>
      <w:r>
        <w:rPr>
          <w:i/>
          <w:color w:val="000000" w:themeColor="text1"/>
          <w:szCs w:val="21"/>
          <w:vertAlign w:val="subscript"/>
          <w14:textFill>
            <w14:solidFill>
              <w14:schemeClr w14:val="tx1"/>
            </w14:solidFill>
          </w14:textFill>
        </w:rPr>
        <w:t>c</w:t>
      </w:r>
      <w:r>
        <w:rPr>
          <w:color w:val="000000" w:themeColor="text1"/>
          <w:szCs w:val="21"/>
          <w14:textFill>
            <w14:solidFill>
              <w14:schemeClr w14:val="tx1"/>
            </w14:solidFill>
          </w14:textFill>
        </w:rPr>
        <w:t>，A错误，B错误；水平方向，根据匀速直线运动公式</w:t>
      </w:r>
      <m:oMath>
        <m:r>
          <m:rPr/>
          <w:rPr>
            <w:rFonts w:ascii="Cambria Math" w:hAnsi="Cambria Math"/>
            <w:color w:val="000000" w:themeColor="text1"/>
            <w:szCs w:val="21"/>
            <w14:textFill>
              <w14:solidFill>
                <w14:schemeClr w14:val="tx1"/>
              </w14:solidFill>
            </w14:textFill>
          </w:rPr>
          <m:t>x=</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，可得排球的初速度为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，由图可知，三个排球的水平位移关系为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，且已知飞行时间</w:t>
      </w:r>
      <w:r>
        <w:rPr>
          <w:i/>
          <w:color w:val="000000" w:themeColor="text1"/>
          <w:szCs w:val="21"/>
          <w14:textFill>
            <w14:solidFill>
              <w14:schemeClr w14:val="tx1"/>
            </w14:solidFill>
          </w14:textFill>
        </w:rPr>
        <w:t>t</w:t>
      </w:r>
      <w:r>
        <w:rPr>
          <w:color w:val="000000" w:themeColor="text1"/>
          <w:szCs w:val="21"/>
          <w14:textFill>
            <w14:solidFill>
              <w14:schemeClr w14:val="tx1"/>
            </w14:solidFill>
          </w14:textFill>
        </w:rPr>
        <w:t>相等，所以三个排球的初速度满足</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，C正确，D错误。故选C。</w:t>
      </w:r>
    </w:p>
    <w:p w14:paraId="1AB3FD2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5．已知某种元素的半衰期为39万年，一群该元素对应的粒子的原始质量为</w:t>
      </w:r>
      <w:r>
        <w:rPr>
          <w:i/>
          <w:color w:val="000000" w:themeColor="text1"/>
          <w:szCs w:val="21"/>
          <w14:textFill>
            <w14:solidFill>
              <w14:schemeClr w14:val="tx1"/>
            </w14:solidFill>
          </w14:textFill>
        </w:rPr>
        <w:t>m</w:t>
      </w:r>
      <w:r>
        <w:rPr>
          <w:color w:val="000000" w:themeColor="text1"/>
          <w:szCs w:val="21"/>
          <w:vertAlign w:val="subscript"/>
          <w14:textFill>
            <w14:solidFill>
              <w14:schemeClr w14:val="tx1"/>
            </w14:solidFill>
          </w14:textFill>
        </w:rPr>
        <w:t>0</w:t>
      </w:r>
      <w:r>
        <w:rPr>
          <w:color w:val="000000" w:themeColor="text1"/>
          <w:szCs w:val="21"/>
          <w14:textFill>
            <w14:solidFill>
              <w14:schemeClr w14:val="tx1"/>
            </w14:solidFill>
          </w14:textFill>
        </w:rPr>
        <w:t>，经历12万年后该粒子的质量剩余</w:t>
      </w:r>
      <w:r>
        <w:rPr>
          <w:i/>
          <w:color w:val="000000" w:themeColor="text1"/>
          <w:szCs w:val="21"/>
          <w14:textFill>
            <w14:solidFill>
              <w14:schemeClr w14:val="tx1"/>
            </w14:solidFill>
          </w14:textFill>
        </w:rPr>
        <w:t>m</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，则下列关于剩余的该粒子质量随时间变化的图像正确的是(　　)</w:t>
      </w:r>
    </w:p>
    <w:p w14:paraId="06035361">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kern w:val="0"/>
          <w:szCs w:val="21"/>
          <w14:textFill>
            <w14:solidFill>
              <w14:schemeClr w14:val="tx1"/>
            </w14:solidFill>
          </w14:textFill>
        </w:rPr>
        <w:drawing>
          <wp:inline distT="0" distB="0" distL="0" distR="0">
            <wp:extent cx="1181100" cy="1028700"/>
            <wp:effectExtent l="0" t="0" r="0" b="0"/>
            <wp:docPr id="100007" name="图片 100007" descr="@@@99a62972-b9bc-4100-9949-9d3f1d091e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99a62972-b9bc-4100-9949-9d3f1d091eae"/>
                    <pic:cNvPicPr>
                      <a:picLocks noChangeAspect="1"/>
                    </pic:cNvPicPr>
                  </pic:nvPicPr>
                  <pic:blipFill>
                    <a:blip r:embed="rId9"/>
                    <a:stretch>
                      <a:fillRect/>
                    </a:stretch>
                  </pic:blipFill>
                  <pic:spPr>
                    <a:xfrm>
                      <a:off x="0" y="0"/>
                      <a:ext cx="1181100" cy="1028700"/>
                    </a:xfrm>
                    <a:prstGeom prst="rect">
                      <a:avLst/>
                    </a:prstGeom>
                  </pic:spPr>
                </pic:pic>
              </a:graphicData>
            </a:graphic>
          </wp:inline>
        </w:drawing>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w:r>
        <w:rPr>
          <w:color w:val="000000" w:themeColor="text1"/>
          <w:kern w:val="0"/>
          <w:szCs w:val="21"/>
          <w14:textFill>
            <w14:solidFill>
              <w14:schemeClr w14:val="tx1"/>
            </w14:solidFill>
          </w14:textFill>
        </w:rPr>
        <w:drawing>
          <wp:inline distT="0" distB="0" distL="0" distR="0">
            <wp:extent cx="1476375" cy="1285875"/>
            <wp:effectExtent l="0" t="0" r="0" b="0"/>
            <wp:docPr id="100009" name="图片 100009" descr="@@@36be3134-68e6-4f2c-ac90-0335382517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36be3134-68e6-4f2c-ac90-0335382517a3"/>
                    <pic:cNvPicPr>
                      <a:picLocks noChangeAspect="1"/>
                    </pic:cNvPicPr>
                  </pic:nvPicPr>
                  <pic:blipFill>
                    <a:blip r:embed="rId10"/>
                    <a:stretch>
                      <a:fillRect/>
                    </a:stretch>
                  </pic:blipFill>
                  <pic:spPr>
                    <a:xfrm>
                      <a:off x="0" y="0"/>
                      <a:ext cx="1476375" cy="1285875"/>
                    </a:xfrm>
                    <a:prstGeom prst="rect">
                      <a:avLst/>
                    </a:prstGeom>
                  </pic:spPr>
                </pic:pic>
              </a:graphicData>
            </a:graphic>
          </wp:inline>
        </w:drawing>
      </w:r>
    </w:p>
    <w:p w14:paraId="48A26909">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w:t>
      </w:r>
      <w:r>
        <w:rPr>
          <w:color w:val="000000" w:themeColor="text1"/>
          <w:kern w:val="0"/>
          <w:szCs w:val="21"/>
          <w14:textFill>
            <w14:solidFill>
              <w14:schemeClr w14:val="tx1"/>
            </w14:solidFill>
          </w14:textFill>
        </w:rPr>
        <w:drawing>
          <wp:inline distT="0" distB="0" distL="0" distR="0">
            <wp:extent cx="1371600" cy="1190625"/>
            <wp:effectExtent l="0" t="0" r="0" b="0"/>
            <wp:docPr id="100011" name="图片 100011" descr="@@@0f505d0a-3845-4e5f-bd4d-b6731119bf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0f505d0a-3845-4e5f-bd4d-b6731119bfe9"/>
                    <pic:cNvPicPr>
                      <a:picLocks noChangeAspect="1"/>
                    </pic:cNvPicPr>
                  </pic:nvPicPr>
                  <pic:blipFill>
                    <a:blip r:embed="rId11"/>
                    <a:stretch>
                      <a:fillRect/>
                    </a:stretch>
                  </pic:blipFill>
                  <pic:spPr>
                    <a:xfrm>
                      <a:off x="0" y="0"/>
                      <a:ext cx="1371600" cy="1190625"/>
                    </a:xfrm>
                    <a:prstGeom prst="rect">
                      <a:avLst/>
                    </a:prstGeom>
                  </pic:spPr>
                </pic:pic>
              </a:graphicData>
            </a:graphic>
          </wp:inline>
        </w:drawing>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w:r>
        <w:rPr>
          <w:color w:val="000000" w:themeColor="text1"/>
          <w:kern w:val="0"/>
          <w:szCs w:val="21"/>
          <w14:textFill>
            <w14:solidFill>
              <w14:schemeClr w14:val="tx1"/>
            </w14:solidFill>
          </w14:textFill>
        </w:rPr>
        <w:drawing>
          <wp:inline distT="0" distB="0" distL="0" distR="0">
            <wp:extent cx="1390650" cy="1209675"/>
            <wp:effectExtent l="0" t="0" r="0" b="0"/>
            <wp:docPr id="100013" name="图片 100013" descr="@@@b1da192a-6aa0-4dd3-af6b-2285111a26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b1da192a-6aa0-4dd3-af6b-2285111a26c9"/>
                    <pic:cNvPicPr>
                      <a:picLocks noChangeAspect="1"/>
                    </pic:cNvPicPr>
                  </pic:nvPicPr>
                  <pic:blipFill>
                    <a:blip r:embed="rId12"/>
                    <a:stretch>
                      <a:fillRect/>
                    </a:stretch>
                  </pic:blipFill>
                  <pic:spPr>
                    <a:xfrm>
                      <a:off x="0" y="0"/>
                      <a:ext cx="1390650" cy="1209675"/>
                    </a:xfrm>
                    <a:prstGeom prst="rect">
                      <a:avLst/>
                    </a:prstGeom>
                  </pic:spPr>
                </pic:pic>
              </a:graphicData>
            </a:graphic>
          </wp:inline>
        </w:drawing>
      </w:r>
    </w:p>
    <w:p w14:paraId="19A44BF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w:t>
      </w:r>
    </w:p>
    <w:p w14:paraId="2EAB37C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【解析】根据半衰期的公式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余</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sup>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，这是一个以</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为底的指数函数，根据数学知识可知图像是一条单调递减、下凸的曲线。且由题知该元素的半衰期为</w:t>
      </w:r>
      <w:r>
        <w:rPr>
          <w:i/>
          <w:color w:val="000000" w:themeColor="text1"/>
          <w:szCs w:val="21"/>
          <w14:textFill>
            <w14:solidFill>
              <w14:schemeClr w14:val="tx1"/>
            </w14:solidFill>
          </w14:textFill>
        </w:rPr>
        <w:t>T</w:t>
      </w:r>
      <w:r>
        <w:rPr>
          <w:color w:val="000000" w:themeColor="text1"/>
          <w:szCs w:val="21"/>
          <w14:textFill>
            <w14:solidFill>
              <w14:schemeClr w14:val="tx1"/>
            </w14:solidFill>
          </w14:textFill>
        </w:rPr>
        <w:t xml:space="preserve"> </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 xml:space="preserve"> 39万年，则39万年时剩余的该粒子的质量为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余</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，故选A。</w:t>
      </w:r>
    </w:p>
    <w:p w14:paraId="7987C01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6．一带正电粒子沿直线穿越如图等势面，则下列说法正确的是(　　)</w:t>
      </w:r>
    </w:p>
    <w:p w14:paraId="67E0C9F5">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819275" cy="1571625"/>
            <wp:effectExtent l="0" t="0" r="0" b="0"/>
            <wp:docPr id="100015" name="图片 100015" descr="@@@601efff1-3f74-4a31-a36f-e124fe38b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601efff1-3f74-4a31-a36f-e124fe38b429"/>
                    <pic:cNvPicPr>
                      <a:picLocks noChangeAspect="1"/>
                    </pic:cNvPicPr>
                  </pic:nvPicPr>
                  <pic:blipFill>
                    <a:blip r:embed="rId13"/>
                    <a:stretch>
                      <a:fillRect/>
                    </a:stretch>
                  </pic:blipFill>
                  <pic:spPr>
                    <a:xfrm>
                      <a:off x="0" y="0"/>
                      <a:ext cx="1819275" cy="1571625"/>
                    </a:xfrm>
                    <a:prstGeom prst="rect">
                      <a:avLst/>
                    </a:prstGeom>
                  </pic:spPr>
                </pic:pic>
              </a:graphicData>
            </a:graphic>
          </wp:inline>
        </w:drawing>
      </w:r>
    </w:p>
    <w:p w14:paraId="35B09E3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A．粒子电势能先增大后减小</w:t>
      </w:r>
    </w:p>
    <w:p w14:paraId="53B342A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B．粒子电势能先减小后增大</w:t>
      </w:r>
    </w:p>
    <w:p w14:paraId="1F10FF3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C．粒子所受电场力先做负功后做正功</w:t>
      </w:r>
    </w:p>
    <w:p w14:paraId="6A1BFF8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D．粒子所受电场力不变</w:t>
      </w:r>
    </w:p>
    <w:p w14:paraId="4F26C55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【答案】B</w:t>
      </w:r>
    </w:p>
    <w:p w14:paraId="58C1346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【解析】由图可知，等势面越靠近中心电势越低，根据电势能与电势的关系</w:t>
      </w:r>
      <m:oMath>
        <m:sSub>
          <m:sSubPr>
            <m:ctrlPr>
              <w:rPr>
                <w:rFonts w:ascii="Cambria Math" w:hAnsi="Cambria Math"/>
                <w:i/>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i/>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p</m:t>
            </m:r>
            <m:ctrlPr>
              <w:rPr>
                <w:rFonts w:ascii="Cambria Math" w:hAnsi="Cambria Math"/>
                <w:i/>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=φq</m:t>
        </m:r>
      </m:oMath>
      <w:r>
        <w:rPr>
          <w:color w:val="000000" w:themeColor="text1"/>
          <w:szCs w:val="21"/>
          <w14:textFill>
            <w14:solidFill>
              <w14:schemeClr w14:val="tx1"/>
            </w14:solidFill>
          </w14:textFill>
        </w:rPr>
        <w:t>，可知粒子沿直线从右侧外部向左侧运动，过程中电势先减小，后增大，粒子带正电，因此电势能先减小后增大，A错误，B正确；根据电场力做功与电势能变化的关系，可知电势能先减小后增大，说明电场力先做正功后做负功，C错误；根据等差等势面的疏密反映电场强度大小，越靠近中心等势面越密，说明电场强度越大，根据</w:t>
      </w:r>
      <w:r>
        <w:rPr>
          <w:i/>
          <w:iCs/>
          <w:color w:val="000000" w:themeColor="text1"/>
          <w:szCs w:val="21"/>
          <w14:textFill>
            <w14:solidFill>
              <w14:schemeClr w14:val="tx1"/>
            </w14:solidFill>
          </w14:textFill>
        </w:rPr>
        <w:t>F</w:t>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Eq</w:t>
      </w:r>
      <w:r>
        <w:rPr>
          <w:color w:val="000000" w:themeColor="text1"/>
          <w:szCs w:val="21"/>
          <w14:textFill>
            <w14:solidFill>
              <w14:schemeClr w14:val="tx1"/>
            </w14:solidFill>
          </w14:textFill>
        </w:rPr>
        <w:t>，可知粒子所受电场力是变化的，D错误。故选B 。</w:t>
      </w:r>
    </w:p>
    <w:p w14:paraId="0703B91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7．发射一颗探月卫星，其先后在两个轨道上分别经过</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N</w:t>
      </w:r>
      <w:r>
        <w:rPr>
          <w:color w:val="000000" w:themeColor="text1"/>
          <w:szCs w:val="21"/>
          <w14:textFill>
            <w14:solidFill>
              <w14:schemeClr w14:val="tx1"/>
            </w14:solidFill>
          </w14:textFill>
        </w:rPr>
        <w:t>两点，如图所示，关于卫星在</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N</w:t>
      </w:r>
      <w:r>
        <w:rPr>
          <w:color w:val="000000" w:themeColor="text1"/>
          <w:szCs w:val="21"/>
          <w14:textFill>
            <w14:solidFill>
              <w14:schemeClr w14:val="tx1"/>
            </w14:solidFill>
          </w14:textFill>
        </w:rPr>
        <w:t>两点的情况，下列说法正确的是(　　)</w:t>
      </w:r>
    </w:p>
    <w:p w14:paraId="34E1971B">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695450" cy="1457325"/>
            <wp:effectExtent l="0" t="0" r="0" b="0"/>
            <wp:docPr id="100017" name="图片 100017" descr="@@@7b6b83ae-8816-4509-bd54-346dbfa1e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7b6b83ae-8816-4509-bd54-346dbfa1ebe0"/>
                    <pic:cNvPicPr>
                      <a:picLocks noChangeAspect="1"/>
                    </pic:cNvPicPr>
                  </pic:nvPicPr>
                  <pic:blipFill>
                    <a:blip r:embed="rId14"/>
                    <a:stretch>
                      <a:fillRect/>
                    </a:stretch>
                  </pic:blipFill>
                  <pic:spPr>
                    <a:xfrm>
                      <a:off x="0" y="0"/>
                      <a:ext cx="1695450" cy="1457325"/>
                    </a:xfrm>
                    <a:prstGeom prst="rect">
                      <a:avLst/>
                    </a:prstGeom>
                  </pic:spPr>
                </pic:pic>
              </a:graphicData>
            </a:graphic>
          </wp:inline>
        </w:drawing>
      </w:r>
    </w:p>
    <w:p w14:paraId="4D6EAD2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A．在</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点所受地球引力比月球引力大</w:t>
      </w:r>
    </w:p>
    <w:p w14:paraId="29F6139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B．在</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点所受地球引力和月球引力相等</w:t>
      </w:r>
    </w:p>
    <w:p w14:paraId="605AD1A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C．在</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点所受月球引力比地球引力大</w:t>
      </w:r>
    </w:p>
    <w:p w14:paraId="17293A2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D．在</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点所受地球引力比月球引力大</w:t>
      </w:r>
    </w:p>
    <w:p w14:paraId="23A7A44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【答案】D</w:t>
      </w:r>
    </w:p>
    <w:p w14:paraId="7C41B40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【解析】根据曲线运动的受力特点可知合力指向曲线的内侧，卫星在曲线轨道</w:t>
      </w:r>
      <w:r>
        <w:rPr>
          <w:i/>
          <w:color w:val="000000" w:themeColor="text1"/>
          <w:szCs w:val="21"/>
          <w14:textFill>
            <w14:solidFill>
              <w14:schemeClr w14:val="tx1"/>
            </w14:solidFill>
          </w14:textFill>
        </w:rPr>
        <w:t>N</w:t>
      </w:r>
      <w:r>
        <w:rPr>
          <w:color w:val="000000" w:themeColor="text1"/>
          <w:szCs w:val="21"/>
          <w14:textFill>
            <w14:solidFill>
              <w14:schemeClr w14:val="tx1"/>
            </w14:solidFill>
          </w14:textFill>
        </w:rPr>
        <w:t>点时，轨迹向月球一侧弯曲，可知卫星所受合力指向轨迹的内侧，根据受力分析可知卫星在</w:t>
      </w:r>
      <w:r>
        <w:rPr>
          <w:i/>
          <w:color w:val="000000" w:themeColor="text1"/>
          <w:szCs w:val="21"/>
          <w14:textFill>
            <w14:solidFill>
              <w14:schemeClr w14:val="tx1"/>
            </w14:solidFill>
          </w14:textFill>
        </w:rPr>
        <w:t>N</w:t>
      </w:r>
      <w:r>
        <w:rPr>
          <w:color w:val="000000" w:themeColor="text1"/>
          <w:szCs w:val="21"/>
          <w14:textFill>
            <w14:solidFill>
              <w14:schemeClr w14:val="tx1"/>
            </w14:solidFill>
          </w14:textFill>
        </w:rPr>
        <w:t>点受到的月球引力大于地球引力，AB错误；同理卫星在</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点时轨迹向地球一侧弯曲，可知卫星在</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点受到地球的引力比月球引力大，C错误，D正确，故选D。</w:t>
      </w:r>
    </w:p>
    <w:p w14:paraId="7FA3CB8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8．如图所示为在重力作用下肥皂膜上出现的条纹。关于该条纹，下列说法正确的是(　　)</w:t>
      </w:r>
    </w:p>
    <w:p w14:paraId="49C3DE5F">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095375" cy="1047750"/>
            <wp:effectExtent l="0" t="0" r="0" b="0"/>
            <wp:docPr id="100019" name="图片 100019" descr="@@@d87fbb17949046c3a22ca901cc197b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d87fbb17949046c3a22ca901cc197bf8"/>
                    <pic:cNvPicPr>
                      <a:picLocks noChangeAspect="1"/>
                    </pic:cNvPicPr>
                  </pic:nvPicPr>
                  <pic:blipFill>
                    <a:blip r:embed="rId15"/>
                    <a:stretch>
                      <a:fillRect/>
                    </a:stretch>
                  </pic:blipFill>
                  <pic:spPr>
                    <a:xfrm>
                      <a:off x="0" y="0"/>
                      <a:ext cx="1095375" cy="1047750"/>
                    </a:xfrm>
                    <a:prstGeom prst="rect">
                      <a:avLst/>
                    </a:prstGeom>
                  </pic:spPr>
                </pic:pic>
              </a:graphicData>
            </a:graphic>
          </wp:inline>
        </w:drawing>
      </w:r>
    </w:p>
    <w:p w14:paraId="7A36C4B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A．是干涉现象，自上而下相邻条纹间距越来越小</w:t>
      </w:r>
    </w:p>
    <w:p w14:paraId="22268BE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B．是干涉现象，自上而下相邻条纹间距相同</w:t>
      </w:r>
    </w:p>
    <w:p w14:paraId="3BD1357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C．是衍射现象，自上而下相邻条纹间距越来越小</w:t>
      </w:r>
    </w:p>
    <w:p w14:paraId="63FC0FC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D．是衍射现象，自上而下相邻条纹间距相同</w:t>
      </w:r>
    </w:p>
    <w:p w14:paraId="57F7574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w:t>
      </w:r>
    </w:p>
    <w:p w14:paraId="7480B60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肥皂膜上的条纹是薄膜干涉现象，由肥皂膜前后两个表面的反射光相遇后干涉形成。CD错误；由于重力作用竖直放置的肥皂膜，液体向下流动，形成上薄下厚的结构：肥皂膜厚度随竖直高度的增加越快(单位竖直距离的厚度变化量越大)。根据薄膜干涉规律，前后两个表面反射的光路程差为薄膜厚度的2倍，厚度变化率越大，光程差增加的越快，故相邻明暗条纹的竖直间距越小，因此自上而下(从上到下)相邻条纹间距越来越小。故选A。</w:t>
      </w:r>
    </w:p>
    <w:p w14:paraId="08D446D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9．如图所示，由照相机拍摄的两组照片，甲图无法看清车内景物，乙图调整镜头后拍摄可以看清车内景物。关于该现象，下列说法正确的是(　　)</w:t>
      </w:r>
    </w:p>
    <w:p w14:paraId="52AEA2B6">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571750" cy="981075"/>
            <wp:effectExtent l="0" t="0" r="0" b="0"/>
            <wp:docPr id="100021" name="图片 100021" descr="@@@a3246abd-d6a5-444b-b3c8-796a8611f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3246abd-d6a5-444b-b3c8-796a8611f485"/>
                    <pic:cNvPicPr>
                      <a:picLocks noChangeAspect="1"/>
                    </pic:cNvPicPr>
                  </pic:nvPicPr>
                  <pic:blipFill>
                    <a:blip r:embed="rId16"/>
                    <a:stretch>
                      <a:fillRect/>
                    </a:stretch>
                  </pic:blipFill>
                  <pic:spPr>
                    <a:xfrm>
                      <a:off x="0" y="0"/>
                      <a:ext cx="2571750" cy="981075"/>
                    </a:xfrm>
                    <a:prstGeom prst="rect">
                      <a:avLst/>
                    </a:prstGeom>
                  </pic:spPr>
                </pic:pic>
              </a:graphicData>
            </a:graphic>
          </wp:inline>
        </w:drawing>
      </w:r>
    </w:p>
    <w:p w14:paraId="10A4FC9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A．照相机镜头前加的是滤光片</w:t>
      </w:r>
    </w:p>
    <w:p w14:paraId="247A992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B．照相机镜头前加的是增透膜</w:t>
      </w:r>
    </w:p>
    <w:p w14:paraId="0E52296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C．照相机镜头前加的是偏振片</w:t>
      </w:r>
    </w:p>
    <w:p w14:paraId="010B7C7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D．照相机镜头前加的是增反膜</w:t>
      </w:r>
    </w:p>
    <w:p w14:paraId="30B364A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【答案】C</w:t>
      </w:r>
    </w:p>
    <w:p w14:paraId="5F873AB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甲图中无法看清车内景物原因是玻璃反射的强光(眩光)盖过了车内景物的光线，因此无法看清车内景物；乙图中调整镜头后拍摄可以看清车内景物，原理是相机镜头前偏振片的透振方向与玻璃反射光的偏振方向垂直，大幅度阻挡反射强光，车内透射的自然光只有部分被削弱，车内景物光线相对明显，进而使玻璃后的影像清晰。A错误，C正确。增透膜是镜头本身用来增加整体透光率的薄膜，不能消除玻璃表面的反射眩光，B错误。增反膜的作用是增强反射光的强度，更无法看清车内，D错误。故选 C。</w:t>
      </w:r>
    </w:p>
    <w:p w14:paraId="61E3547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10．旅客在网上购买高铁票后，可使用二代身份证在自动检票闸机上刷身份证进出站。当身份证进入刷卡机感应范围后，刷卡机会向身份证发射高频电磁波，下列说法正确的是(　　)</w:t>
      </w:r>
    </w:p>
    <w:p w14:paraId="692C53F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A．身份证放在刷卡机上不动不会产生感应电流</w:t>
      </w:r>
    </w:p>
    <w:p w14:paraId="649DF26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B．身份证放在刷卡机上不动就会产生感应电流</w:t>
      </w:r>
    </w:p>
    <w:p w14:paraId="1A6A860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C．身份证快速靠近刷卡机感应电流会变大</w:t>
      </w:r>
    </w:p>
    <w:p w14:paraId="03A3D3F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D．身份证快速远离刷卡机感应电流会变大</w:t>
      </w:r>
    </w:p>
    <w:p w14:paraId="3F07916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【答案】B</w:t>
      </w:r>
    </w:p>
    <w:p w14:paraId="5DFBF4E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产生感应电流产生的条件是闭合回路中磁通量发生变化，刷卡机发射的高频电磁波本质是周期性变化的电磁场，可知身份证放在刷卡机上不动时，刷卡机产生的交变磁场会使穿过身份证内置线圈的磁通量随时间发生周期性变化，因此回路中会产生周期性变化的感应电流，A错误，B正确；根据法拉第电磁感应定律</w:t>
      </w:r>
      <m:oMath>
        <m:r>
          <m:rPr/>
          <w:rPr>
            <w:rFonts w:ascii="Cambria Math" w:hAnsi="Cambria Math"/>
            <w:color w:val="000000" w:themeColor="text1"/>
            <w:szCs w:val="21"/>
            <w14:textFill>
              <w14:solidFill>
                <w14:schemeClr w14:val="tx1"/>
              </w14:solidFill>
            </w14:textFill>
          </w:rPr>
          <m:t>E=n</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ΔΦ</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，结合闭合电路欧姆定律</w:t>
      </w:r>
      <m:oMath>
        <m:r>
          <m:rPr/>
          <w:rPr>
            <w:rFonts w:ascii="Cambria Math" w:hAnsi="Cambria Math"/>
            <w:color w:val="000000" w:themeColor="text1"/>
            <w:szCs w:val="21"/>
            <w14:textFill>
              <w14:solidFill>
                <w14:schemeClr w14:val="tx1"/>
              </w14:solidFill>
            </w14:textFill>
          </w:rPr>
          <m:t>I=</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知感应电流大小与磁通量变化率成正比，身份证快速靠近或者快速远离刷卡机过程，由于刷卡机产生的是交变磁场，无法判断这两个过程中的身份证内置线圈的磁通量变化率的变化情况，故感应电流大小也无法判断，CD错误。故选B。</w:t>
      </w:r>
    </w:p>
    <w:p w14:paraId="25EF9D3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11．如图所示，水平面内一光滑小球沿正方形线框</w:t>
      </w:r>
      <m:oMath>
        <m:r>
          <m:rPr/>
          <w:rPr>
            <w:rFonts w:ascii="Cambria Math" w:hAnsi="Cambria Math"/>
            <w:color w:val="000000" w:themeColor="text1"/>
            <w:szCs w:val="21"/>
            <w14:textFill>
              <w14:solidFill>
                <w14:schemeClr w14:val="tx1"/>
              </w14:solidFill>
            </w14:textFill>
          </w:rPr>
          <m:t>fghi</m:t>
        </m:r>
      </m:oMath>
      <w:r>
        <w:rPr>
          <w:color w:val="000000" w:themeColor="text1"/>
          <w:szCs w:val="21"/>
          <w14:textFill>
            <w14:solidFill>
              <w14:schemeClr w14:val="tx1"/>
            </w14:solidFill>
          </w14:textFill>
        </w:rPr>
        <w:t>保持速率不变运行，</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分别是各边中点，在拐点处小球所受合力的冲量大小和其动量大小的比值是(　　)</w:t>
      </w:r>
    </w:p>
    <w:p w14:paraId="746FD3AC">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333500" cy="1457325"/>
            <wp:effectExtent l="0" t="0" r="0" b="0"/>
            <wp:docPr id="100023" name="图片 100023" descr="@@@b01f8d9a-d4b7-44c9-b7c1-75dc35181a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01f8d9a-d4b7-44c9-b7c1-75dc35181a25"/>
                    <pic:cNvPicPr>
                      <a:picLocks noChangeAspect="1"/>
                    </pic:cNvPicPr>
                  </pic:nvPicPr>
                  <pic:blipFill>
                    <a:blip r:embed="rId17"/>
                    <a:stretch>
                      <a:fillRect/>
                    </a:stretch>
                  </pic:blipFill>
                  <pic:spPr>
                    <a:xfrm>
                      <a:off x="0" y="0"/>
                      <a:ext cx="1333500" cy="1457325"/>
                    </a:xfrm>
                    <a:prstGeom prst="rect">
                      <a:avLst/>
                    </a:prstGeom>
                  </pic:spPr>
                </pic:pic>
              </a:graphicData>
            </a:graphic>
          </wp:inline>
        </w:drawing>
      </w:r>
    </w:p>
    <w:p w14:paraId="01185544">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ab</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gb</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ab</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bd</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ab</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fh</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ab</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hi</m:t>
            </m:r>
            <m:ctrlPr>
              <w:rPr>
                <w:rFonts w:ascii="Cambria Math" w:hAnsi="Cambria Math"/>
                <w:color w:val="000000" w:themeColor="text1"/>
                <w:szCs w:val="21"/>
                <w14:textFill>
                  <w14:solidFill>
                    <w14:schemeClr w14:val="tx1"/>
                  </w14:solidFill>
                </w14:textFill>
              </w:rPr>
            </m:ctrlPr>
          </m:den>
        </m:f>
      </m:oMath>
    </w:p>
    <w:p w14:paraId="1D8BB4D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w:t>
      </w:r>
    </w:p>
    <w:p w14:paraId="24DECB2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【解析】根据动量定理，小球在拐点处受到合力的冲量等于动量的变化量，即</w:t>
      </w:r>
      <m:oMath>
        <m:sSub>
          <m:sSubPr>
            <m:ctrlPr>
              <w:rPr>
                <w:rFonts w:ascii="Cambria Math" w:hAnsi="Cambria Math"/>
                <w:i/>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i/>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合</m:t>
            </m:r>
            <m:ctrlPr>
              <w:rPr>
                <w:rFonts w:ascii="Cambria Math" w:hAnsi="Cambria Math"/>
                <w:i/>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，设小球速率为</w:t>
      </w:r>
      <w:r>
        <w:rPr>
          <w:rFonts w:ascii="Book Antiqua" w:hAnsi="Book Antiqua"/>
          <w:i/>
          <w:color w:val="000000" w:themeColor="text1"/>
          <w:szCs w:val="21"/>
          <w14:textFill>
            <w14:solidFill>
              <w14:schemeClr w14:val="tx1"/>
            </w14:solidFill>
          </w14:textFill>
        </w:rPr>
        <w:t>v</w:t>
      </w:r>
      <w:r>
        <w:rPr>
          <w:color w:val="000000" w:themeColor="text1"/>
          <w:szCs w:val="21"/>
          <w14:textFill>
            <w14:solidFill>
              <w14:schemeClr w14:val="tx1"/>
            </w14:solidFill>
          </w14:textFill>
        </w:rPr>
        <w:t>，根据动量的表达式</w:t>
      </w:r>
      <m:oMath>
        <m:r>
          <m:rPr/>
          <w:rPr>
            <w:rFonts w:ascii="Cambria Math" w:hAnsi="Cambria Math"/>
            <w:color w:val="000000" w:themeColor="text1"/>
            <w:szCs w:val="21"/>
            <w14:textFill>
              <w14:solidFill>
                <w14:schemeClr w14:val="tx1"/>
              </w14:solidFill>
            </w14:textFill>
          </w:rPr>
          <m:t>p=mv</m:t>
        </m:r>
      </m:oMath>
      <w:r>
        <w:rPr>
          <w:color w:val="000000" w:themeColor="text1"/>
          <w:szCs w:val="21"/>
          <w14:textFill>
            <w14:solidFill>
              <w14:schemeClr w14:val="tx1"/>
            </w14:solidFill>
          </w14:textFill>
        </w:rPr>
        <w:t>，正方形相邻边方向垂直，小球拐弯前后速度大小均为</w:t>
      </w:r>
      <w:r>
        <w:rPr>
          <w:rFonts w:ascii="Book Antiqua" w:hAnsi="Book Antiqua"/>
          <w:i/>
          <w:color w:val="000000" w:themeColor="text1"/>
          <w:szCs w:val="21"/>
          <w14:textFill>
            <w14:solidFill>
              <w14:schemeClr w14:val="tx1"/>
            </w14:solidFill>
          </w14:textFill>
        </w:rPr>
        <w:t>v</w:t>
      </w:r>
      <w:r>
        <w:rPr>
          <w:color w:val="000000" w:themeColor="text1"/>
          <w:szCs w:val="21"/>
          <w14:textFill>
            <w14:solidFill>
              <w14:schemeClr w14:val="tx1"/>
            </w14:solidFill>
          </w14:textFill>
        </w:rPr>
        <w:t>，方向夹角为</w:t>
      </w:r>
      <m:oMath>
        <m:r>
          <m:rPr>
            <m:sty m:val="p"/>
          </m:rPr>
          <w:rPr>
            <w:rFonts w:ascii="Cambria Math" w:hAnsi="Cambria Math"/>
            <w:color w:val="000000" w:themeColor="text1"/>
            <w:szCs w:val="21"/>
            <w14:textFill>
              <w14:solidFill>
                <w14:schemeClr w14:val="tx1"/>
              </w14:solidFill>
            </w14:textFill>
          </w:rPr>
          <m:t>9</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，因此动量变化量的大小为：</w:t>
      </w:r>
      <m:oMath>
        <m:d>
          <m:dPr>
            <m:begChr m:val="|"/>
            <m:endChr m:val="|"/>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Δp</m:t>
            </m:r>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(mv)</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(mv)</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mv=</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 xml:space="preserve">，可得在拐点处小球所受合力的冲量大小和其动量大小的比值为 </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i/>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i/>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合</m:t>
                </m:r>
                <m:ctrlPr>
                  <w:rPr>
                    <w:rFonts w:ascii="Cambria Math" w:hAnsi="Cambria Math"/>
                    <w:i/>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，结合几何关系可知</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ab</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gb</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ab</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bd</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ab</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hi</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i/>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ctrlPr>
              <w:rPr>
                <w:rFonts w:ascii="Cambria Math" w:hAnsi="Cambria Math"/>
                <w:i/>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i/>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ab</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fh</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i/>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i/>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i/>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，故选A。</w:t>
      </w:r>
    </w:p>
    <w:p w14:paraId="122485FD">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二、实验题</w:t>
      </w:r>
    </w:p>
    <w:p w14:paraId="1E35073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12．某实验小组用手机记录电容器的充放电过程。</w:t>
      </w:r>
    </w:p>
    <w:p w14:paraId="736192D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(1)如图1所示，电容器的电容为_____F．</w:t>
      </w:r>
    </w:p>
    <w:p w14:paraId="014AB96B">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724025" cy="1247775"/>
            <wp:effectExtent l="0" t="0" r="0" b="0"/>
            <wp:docPr id="100025" name="图片 100025" descr="@@@07bc13eb-2cbf-47a7-9476-0a12c53f9c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07bc13eb-2cbf-47a7-9476-0a12c53f9c1c"/>
                    <pic:cNvPicPr>
                      <a:picLocks noChangeAspect="1"/>
                    </pic:cNvPicPr>
                  </pic:nvPicPr>
                  <pic:blipFill>
                    <a:blip r:embed="rId18"/>
                    <a:stretch>
                      <a:fillRect/>
                    </a:stretch>
                  </pic:blipFill>
                  <pic:spPr>
                    <a:xfrm>
                      <a:off x="0" y="0"/>
                      <a:ext cx="1724025" cy="1247775"/>
                    </a:xfrm>
                    <a:prstGeom prst="rect">
                      <a:avLst/>
                    </a:prstGeom>
                  </pic:spPr>
                </pic:pic>
              </a:graphicData>
            </a:graphic>
          </wp:inline>
        </w:drawing>
      </w:r>
    </w:p>
    <w:p w14:paraId="2AB7EEA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(2)关于电容器的电容，下列说法正确的是_____。</w:t>
      </w:r>
    </w:p>
    <w:p w14:paraId="6D4B39A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A．随着放电的进行，电容器的电容会逐渐变小</w:t>
      </w:r>
    </w:p>
    <w:p w14:paraId="79EFE83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B．随着充电的进行，电容器的电容会逐渐变小</w:t>
      </w:r>
    </w:p>
    <w:p w14:paraId="03AB6F4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C．无论是否充放电，电容器的电容均不变</w:t>
      </w:r>
    </w:p>
    <w:p w14:paraId="62D9AC2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(3)用手机记录电容器充满电后的放电过程，电路图如图2所示，则下列步骤排序应为_____。</w:t>
      </w:r>
    </w:p>
    <w:p w14:paraId="53AEED99">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524000" cy="1143000"/>
            <wp:effectExtent l="0" t="0" r="0" b="0"/>
            <wp:docPr id="100027" name="图片 100027" descr="@@@3a5faa11-6de7-4b06-b502-461258f1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a5faa11-6de7-4b06-b502-461258f12298"/>
                    <pic:cNvPicPr>
                      <a:picLocks noChangeAspect="1"/>
                    </pic:cNvPicPr>
                  </pic:nvPicPr>
                  <pic:blipFill>
                    <a:blip r:embed="rId19"/>
                    <a:stretch>
                      <a:fillRect/>
                    </a:stretch>
                  </pic:blipFill>
                  <pic:spPr>
                    <a:xfrm>
                      <a:off x="0" y="0"/>
                      <a:ext cx="1524000" cy="1143000"/>
                    </a:xfrm>
                    <a:prstGeom prst="rect">
                      <a:avLst/>
                    </a:prstGeom>
                  </pic:spPr>
                </pic:pic>
              </a:graphicData>
            </a:graphic>
          </wp:inline>
        </w:drawing>
      </w:r>
    </w:p>
    <w:p w14:paraId="78DDE9B6">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S接</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至</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为0</w:t>
      </w:r>
    </w:p>
    <w:p w14:paraId="745BD0DE">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打开手机开始拍摄，S接</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至</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为0</w:t>
      </w:r>
    </w:p>
    <w:p w14:paraId="0168C844">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关闭手机</w:t>
      </w:r>
    </w:p>
    <w:p w14:paraId="2BD796A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(4)在图3中定性描绘出电容器放电过程电路中的电流随时间变化的规律。</w:t>
      </w:r>
    </w:p>
    <w:p w14:paraId="08BC0048">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343025" cy="1371600"/>
            <wp:effectExtent l="0" t="0" r="0" b="0"/>
            <wp:docPr id="100029" name="图片 100029" descr="@@@9904b37c-315e-4a9f-af93-67d93fb67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904b37c-315e-4a9f-af93-67d93fb67941"/>
                    <pic:cNvPicPr>
                      <a:picLocks noChangeAspect="1"/>
                    </pic:cNvPicPr>
                  </pic:nvPicPr>
                  <pic:blipFill>
                    <a:blip r:embed="rId20"/>
                    <a:stretch>
                      <a:fillRect/>
                    </a:stretch>
                  </pic:blipFill>
                  <pic:spPr>
                    <a:xfrm>
                      <a:off x="0" y="0"/>
                      <a:ext cx="1343025" cy="1371600"/>
                    </a:xfrm>
                    <a:prstGeom prst="rect">
                      <a:avLst/>
                    </a:prstGeom>
                  </pic:spPr>
                </pic:pic>
              </a:graphicData>
            </a:graphic>
          </wp:inline>
        </w:drawing>
      </w:r>
    </w:p>
    <w:p w14:paraId="2F63873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(5)已知电磁式电流表中有铝框，上面绕有线圈，请简述这一结构的作用：__________________________________________________________________________________________________________________。</w:t>
      </w:r>
    </w:p>
    <w:p w14:paraId="69D8CDB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m:oMath>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r>
          <m:rPr>
            <m:sty m:val="p"/>
          </m:rPr>
          <w:rPr>
            <w:rFonts w:hint="eastAsia" w:ascii="Cambria Math" w:hAnsi="Cambria Math"/>
            <w:color w:val="000000" w:themeColor="text1"/>
            <w:szCs w:val="21"/>
            <w14:textFill>
              <w14:solidFill>
                <w14:schemeClr w14:val="tx1"/>
              </w14:solidFill>
            </w14:textFill>
          </w:rPr>
          <m:t>　　</m:t>
        </m:r>
      </m:oMath>
      <w:r>
        <w:rPr>
          <w:color w:val="000000" w:themeColor="text1"/>
          <w:szCs w:val="21"/>
          <w14:textFill>
            <w14:solidFill>
              <w14:schemeClr w14:val="tx1"/>
            </w14:solidFill>
          </w14:textFill>
        </w:rPr>
        <w:t>(2)C</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(3)</w:t>
      </w:r>
      <w:r>
        <w:rPr>
          <w:rFonts w:hint="eastAsia" w:ascii="宋体" w:hAnsi="宋体" w:cs="宋体"/>
          <w:color w:val="000000" w:themeColor="text1"/>
          <w:szCs w:val="21"/>
          <w14:textFill>
            <w14:solidFill>
              <w14:schemeClr w14:val="tx1"/>
            </w14:solidFill>
          </w14:textFill>
        </w:rPr>
        <w:t>②①③</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(4)</w:t>
      </w:r>
      <w:r>
        <w:rPr>
          <w:color w:val="000000" w:themeColor="text1"/>
          <w:kern w:val="0"/>
          <w:szCs w:val="21"/>
          <w14:textFill>
            <w14:solidFill>
              <w14:schemeClr w14:val="tx1"/>
            </w14:solidFill>
          </w14:textFill>
        </w:rPr>
        <w:drawing>
          <wp:inline distT="0" distB="0" distL="0" distR="0">
            <wp:extent cx="1419225" cy="1257300"/>
            <wp:effectExtent l="0" t="0" r="0" b="0"/>
            <wp:docPr id="100031" name="图片 100031" descr="@@@14b7135b-138a-4d40-8c29-54302881b5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4b7135b-138a-4d40-8c29-54302881b55f"/>
                    <pic:cNvPicPr>
                      <a:picLocks noChangeAspect="1"/>
                    </pic:cNvPicPr>
                  </pic:nvPicPr>
                  <pic:blipFill>
                    <a:blip r:embed="rId21"/>
                    <a:stretch>
                      <a:fillRect/>
                    </a:stretch>
                  </pic:blipFill>
                  <pic:spPr>
                    <a:xfrm>
                      <a:off x="0" y="0"/>
                      <a:ext cx="1419225" cy="1257300"/>
                    </a:xfrm>
                    <a:prstGeom prst="rect">
                      <a:avLst/>
                    </a:prstGeom>
                  </pic:spPr>
                </pic:pic>
              </a:graphicData>
            </a:graphic>
          </wp:inline>
        </w:drawing>
      </w:r>
    </w:p>
    <w:p w14:paraId="61C31E9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(5)铝框转动时会产生感应电流，感应电流的安培力产生电磁阻尼，阻碍指针摆动，使指针快速稳定，便于读数</w:t>
      </w:r>
    </w:p>
    <w:p w14:paraId="1486F14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【解析】(1)根据题图可知电容器的铭牌可知电容为</w:t>
      </w:r>
      <m:oMath>
        <m:r>
          <m:rPr>
            <m:sty m:val="p"/>
          </m:rPr>
          <w:rPr>
            <w:rFonts w:ascii="Cambria Math" w:hAnsi="Cambria Math"/>
            <w:color w:val="000000" w:themeColor="text1"/>
            <w:szCs w:val="21"/>
            <w14:textFill>
              <w14:solidFill>
                <w14:schemeClr w14:val="tx1"/>
              </w14:solidFill>
            </w14:textFill>
          </w:rPr>
          <m:t>1000</m:t>
        </m:r>
        <m:r>
          <m:rPr>
            <m:nor/>
            <m:sty m:val="p"/>
          </m:rPr>
          <w:rPr>
            <w:color w:val="000000" w:themeColor="text1"/>
            <w:szCs w:val="21"/>
            <w14:textFill>
              <w14:solidFill>
                <w14:schemeClr w14:val="tx1"/>
              </w14:solidFill>
            </w14:textFill>
          </w:rPr>
          <m:t>μF</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r>
          <m:rPr>
            <m:nor/>
            <m:sty m:val="p"/>
          </m:rPr>
          <w:rPr>
            <w:color w:val="000000" w:themeColor="text1"/>
            <w:szCs w:val="21"/>
            <w14:textFill>
              <w14:solidFill>
                <w14:schemeClr w14:val="tx1"/>
              </w14:solidFill>
            </w14:textFill>
          </w:rPr>
          <m:t>F</m:t>
        </m:r>
      </m:oMath>
    </w:p>
    <w:p w14:paraId="0D8611F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(2)电容是电容器本身的固有属性，由电容器自身构造(极板正对面积、极板间距、电介质)决定，与是否充、放电、极板所带电荷量、极板间电压无关，因此无论是否充放电，电容均不变。故选C。</w:t>
      </w:r>
    </w:p>
    <w:p w14:paraId="6B6B0C7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(3)实验目的是记录充满电后的放电过程，步骤为：先对电容器充电，开关接</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到充电回路，充电至电流为0(电容充满电)，打开手机准备记录，再将开关切换到</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接入放电回路开始放电，放电至电流为0(电容放完电)，放电完成后关闭手机，对应步骤排序为</w:t>
      </w:r>
      <w:r>
        <w:rPr>
          <w:rFonts w:hint="eastAsia" w:ascii="宋体" w:hAnsi="宋体" w:cs="宋体"/>
          <w:color w:val="000000" w:themeColor="text1"/>
          <w:szCs w:val="21"/>
          <w14:textFill>
            <w14:solidFill>
              <w14:schemeClr w14:val="tx1"/>
            </w14:solidFill>
          </w14:textFill>
        </w:rPr>
        <w:t>②①③</w:t>
      </w:r>
      <w:r>
        <w:rPr>
          <w:color w:val="000000" w:themeColor="text1"/>
          <w:szCs w:val="21"/>
          <w14:textFill>
            <w14:solidFill>
              <w14:schemeClr w14:val="tx1"/>
            </w14:solidFill>
          </w14:textFill>
        </w:rPr>
        <w:t>。</w:t>
      </w:r>
    </w:p>
    <w:p w14:paraId="04CAEB4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(4)电容器放电时，初始由于极板间的电势差最大，所以放电电流最大，随时间推移，极板电荷量减少，板间电压降低，放电电流逐渐减小，最终电流为0，且电流减小速率越来越慢，如图所示</w:t>
      </w:r>
    </w:p>
    <w:p w14:paraId="77B00057">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381125" cy="1228725"/>
            <wp:effectExtent l="0" t="0" r="0" b="0"/>
            <wp:docPr id="100033" name="图片 100033" descr="@@@1326e476-adcf-491c-92d2-98f3892569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1326e476-adcf-491c-92d2-98f3892569be"/>
                    <pic:cNvPicPr>
                      <a:picLocks noChangeAspect="1"/>
                    </pic:cNvPicPr>
                  </pic:nvPicPr>
                  <pic:blipFill>
                    <a:blip r:embed="rId21"/>
                    <a:stretch>
                      <a:fillRect/>
                    </a:stretch>
                  </pic:blipFill>
                  <pic:spPr>
                    <a:xfrm>
                      <a:off x="0" y="0"/>
                      <a:ext cx="1381125" cy="1228725"/>
                    </a:xfrm>
                    <a:prstGeom prst="rect">
                      <a:avLst/>
                    </a:prstGeom>
                  </pic:spPr>
                </pic:pic>
              </a:graphicData>
            </a:graphic>
          </wp:inline>
        </w:drawing>
      </w:r>
    </w:p>
    <w:p w14:paraId="38CB4BA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铝框是导体，指针摆动带动铝框转动，切割磁感线产生感应电流，根据楞次定律可知感应电流产生的磁场阻碍原磁通量的变化，故线圈会受到阻碍铝框相对运动的安培力作用，即电磁阻尼，能让指针快速停止摆动，方便读数。</w:t>
      </w:r>
    </w:p>
    <w:p w14:paraId="6A22C65F">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三、解答题</w:t>
      </w:r>
    </w:p>
    <w:p w14:paraId="53210FE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13．一定质量的理想气体从</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状态到</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状态经历等温变化，此过程外界压缩气体对其做的功为</w:t>
      </w:r>
      <w:r>
        <w:rPr>
          <w:i/>
          <w:color w:val="000000" w:themeColor="text1"/>
          <w:szCs w:val="21"/>
          <w14:textFill>
            <w14:solidFill>
              <w14:schemeClr w14:val="tx1"/>
            </w14:solidFill>
          </w14:textFill>
        </w:rPr>
        <w:t>W</w:t>
      </w:r>
      <w:r>
        <w:rPr>
          <w:color w:val="000000" w:themeColor="text1"/>
          <w:szCs w:val="21"/>
          <w14:textFill>
            <w14:solidFill>
              <w14:schemeClr w14:val="tx1"/>
            </w14:solidFill>
          </w14:textFill>
        </w:rPr>
        <w:t>。已知</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状态气体体积为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，压强为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状态气体体积为</w:t>
      </w:r>
      <m:oMath>
        <m:r>
          <m:rPr/>
          <w:rPr>
            <w:rFonts w:ascii="Cambria Math" w:hAnsi="Cambria Math"/>
            <w:color w:val="000000" w:themeColor="text1"/>
            <w:szCs w:val="21"/>
            <w14:textFill>
              <w14:solidFill>
                <w14:schemeClr w14:val="tx1"/>
              </w14:solidFill>
            </w14:textFill>
          </w:rPr>
          <m:t>V</m:t>
        </m:r>
      </m:oMath>
      <w:r>
        <w:rPr>
          <w:color w:val="000000" w:themeColor="text1"/>
          <w:szCs w:val="21"/>
          <w14:textFill>
            <w14:solidFill>
              <w14:schemeClr w14:val="tx1"/>
            </w14:solidFill>
          </w14:textFill>
        </w:rPr>
        <w:t>。求：</w:t>
      </w:r>
    </w:p>
    <w:p w14:paraId="366B6E7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(1)该过程气体放出的热量；</w:t>
      </w:r>
    </w:p>
    <w:p w14:paraId="52791CB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状态时气体的压强。</w:t>
      </w:r>
    </w:p>
    <w:p w14:paraId="6C0AA0F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m:oMath>
        <m:r>
          <m:rPr/>
          <w:rPr>
            <w:rFonts w:ascii="Cambria Math" w:hAnsi="Cambria Math"/>
            <w:color w:val="000000" w:themeColor="text1"/>
            <w:szCs w:val="21"/>
            <w14:textFill>
              <w14:solidFill>
                <w14:schemeClr w14:val="tx1"/>
              </w14:solidFill>
            </w14:textFill>
          </w:rPr>
          <m:t>W</m:t>
        </m:r>
        <m:r>
          <m:rPr>
            <m:sty m:val="p"/>
          </m:rPr>
          <w:rPr>
            <w:rFonts w:hint="eastAsia" w:ascii="Cambria Math" w:hAnsi="Cambria Math"/>
            <w:color w:val="000000" w:themeColor="text1"/>
            <w:szCs w:val="21"/>
            <w14:textFill>
              <w14:solidFill>
                <w14:schemeClr w14:val="tx1"/>
              </w14:solidFill>
            </w14:textFill>
          </w:rPr>
          <m:t>　　</m:t>
        </m:r>
      </m:oMath>
      <w:r>
        <w:rPr>
          <w:color w:val="000000" w:themeColor="text1"/>
          <w:szCs w:val="21"/>
          <w14:textFill>
            <w14:solidFill>
              <w14:schemeClr w14:val="tx1"/>
            </w14:solidFill>
          </w14:textFill>
        </w:rPr>
        <w:t>(2)</w:t>
      </w:r>
      <m:oMath>
        <m:r>
          <m:rPr/>
          <w:rPr>
            <w:rFonts w:ascii="Cambria Math" w:hAnsi="Cambria Math"/>
            <w:color w:val="000000" w:themeColor="text1"/>
            <w:szCs w:val="21"/>
            <w14:textFill>
              <w14:solidFill>
                <w14:schemeClr w14:val="tx1"/>
              </w14:solidFill>
            </w14:textFill>
          </w:rPr>
          <m:t>p=</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p>
    <w:p w14:paraId="22D32CD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【解析】(1)温度是理想气体内能的标志，理想气体经历从</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状态到</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状态等温变化，气体的内能不变，根据热力学第一定律，有</w:t>
      </w:r>
      <m:oMath>
        <m:r>
          <m:rPr>
            <m:sty m:val="p"/>
          </m:rPr>
          <w:rPr>
            <w:rFonts w:ascii="Cambria Math" w:hAnsi="Cambria Math"/>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U=Q+W=</m:t>
        </m:r>
        <m:r>
          <m:rPr>
            <m:sty m:val="p"/>
          </m:rPr>
          <w:rPr>
            <w:rFonts w:ascii="Cambria Math" w:hAnsi="Cambria Math"/>
            <w:color w:val="000000" w:themeColor="text1"/>
            <w:szCs w:val="21"/>
            <w14:textFill>
              <w14:solidFill>
                <w14:schemeClr w14:val="tx1"/>
              </w14:solidFill>
            </w14:textFill>
          </w:rPr>
          <m:t>0</m:t>
        </m:r>
      </m:oMath>
    </w:p>
    <w:p w14:paraId="22A98DC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w:t>
      </w:r>
      <m:oMath>
        <m:r>
          <m:rPr/>
          <w:rPr>
            <w:rFonts w:ascii="Cambria Math" w:hAnsi="Cambria Math"/>
            <w:color w:val="000000" w:themeColor="text1"/>
            <w:szCs w:val="21"/>
            <w14:textFill>
              <w14:solidFill>
                <w14:schemeClr w14:val="tx1"/>
              </w14:solidFill>
            </w14:textFill>
          </w:rPr>
          <m:t>Q=−W</m:t>
        </m:r>
      </m:oMath>
      <w:r>
        <w:rPr>
          <w:color w:val="000000" w:themeColor="text1"/>
          <w:szCs w:val="21"/>
          <w14:textFill>
            <w14:solidFill>
              <w14:schemeClr w14:val="tx1"/>
            </w14:solidFill>
          </w14:textFill>
        </w:rPr>
        <w:t>，负号表示该过程中气体放出的热量为</w:t>
      </w:r>
      <m:oMath>
        <m:r>
          <m:rPr/>
          <w:rPr>
            <w:rFonts w:ascii="Cambria Math" w:hAnsi="Cambria Math"/>
            <w:color w:val="000000" w:themeColor="text1"/>
            <w:szCs w:val="21"/>
            <w14:textFill>
              <w14:solidFill>
                <w14:schemeClr w14:val="tx1"/>
              </w14:solidFill>
            </w14:textFill>
          </w:rPr>
          <m:t>W</m:t>
        </m:r>
      </m:oMath>
      <w:r>
        <w:rPr>
          <w:color w:val="000000" w:themeColor="text1"/>
          <w:szCs w:val="21"/>
          <w14:textFill>
            <w14:solidFill>
              <w14:schemeClr w14:val="tx1"/>
            </w14:solidFill>
          </w14:textFill>
        </w:rPr>
        <w:t>。</w:t>
      </w:r>
    </w:p>
    <w:p w14:paraId="5DB04FB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(2)理想气体经历从</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状态到</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状态等温变化，根据玻意耳定律，有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=pV</m:t>
        </m:r>
      </m:oMath>
    </w:p>
    <w:p w14:paraId="4FEF5CE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状态时气体的压强为</w:t>
      </w:r>
      <m:oMath>
        <m:r>
          <m:rPr/>
          <w:rPr>
            <w:rFonts w:ascii="Cambria Math" w:hAnsi="Cambria Math"/>
            <w:color w:val="000000" w:themeColor="text1"/>
            <w:szCs w:val="21"/>
            <w14:textFill>
              <w14:solidFill>
                <w14:schemeClr w14:val="tx1"/>
              </w14:solidFill>
            </w14:textFill>
          </w:rPr>
          <m:t>p=</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p>
    <w:p w14:paraId="2CCBC49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14．一质量</w:t>
      </w:r>
      <m:oMath>
        <m:r>
          <m:rPr/>
          <w:rPr>
            <w:rFonts w:ascii="Cambria Math" w:hAnsi="Cambria Math"/>
            <w:color w:val="000000" w:themeColor="text1"/>
            <w:szCs w:val="21"/>
            <w14:textFill>
              <w14:solidFill>
                <w14:schemeClr w14:val="tx1"/>
              </w14:solidFill>
            </w14:textFill>
          </w:rPr>
          <m:t>m=</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kg</m:t>
        </m:r>
      </m:oMath>
      <w:r>
        <w:rPr>
          <w:color w:val="000000" w:themeColor="text1"/>
          <w:szCs w:val="21"/>
          <w14:textFill>
            <w14:solidFill>
              <w14:schemeClr w14:val="tx1"/>
            </w14:solidFill>
          </w14:textFill>
        </w:rPr>
        <w:t>的汽车经过一半径</w:t>
      </w:r>
      <m:oMath>
        <m:r>
          <m:rPr/>
          <w:rPr>
            <w:rFonts w:ascii="Cambria Math" w:hAnsi="Cambria Math"/>
            <w:color w:val="000000" w:themeColor="text1"/>
            <w:szCs w:val="21"/>
            <w14:textFill>
              <w14:solidFill>
                <w14:schemeClr w14:val="tx1"/>
              </w14:solidFill>
            </w14:textFill>
          </w:rPr>
          <m:t>R=</m:t>
        </m:r>
        <m:r>
          <m:rPr>
            <m:sty m:val="p"/>
          </m:rPr>
          <w:rPr>
            <w:rFonts w:ascii="Cambria Math" w:hAnsi="Cambria Math"/>
            <w:color w:val="000000" w:themeColor="text1"/>
            <w:szCs w:val="21"/>
            <w14:textFill>
              <w14:solidFill>
                <w14:schemeClr w14:val="tx1"/>
              </w14:solidFill>
            </w14:textFill>
          </w:rPr>
          <m:t>20</m:t>
        </m:r>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的拱形桥顶部时，速度</w:t>
      </w:r>
      <m:oMath>
        <m:r>
          <m:rPr/>
          <w:rPr>
            <w:rFonts w:ascii="Cambria Math" w:hAnsi="Cambria Math"/>
            <w:color w:val="000000" w:themeColor="text1"/>
            <w:szCs w:val="21"/>
            <w14:textFill>
              <w14:solidFill>
                <w14:schemeClr w14:val="tx1"/>
              </w14:solidFill>
            </w14:textFill>
          </w:rPr>
          <m:t>v=</m:t>
        </m:r>
        <m:r>
          <m:rPr>
            <m:sty m:val="p"/>
          </m:rPr>
          <w:rPr>
            <w:rFonts w:ascii="Cambria Math" w:hAnsi="Cambria Math"/>
            <w:color w:val="000000" w:themeColor="text1"/>
            <w:szCs w:val="21"/>
            <w14:textFill>
              <w14:solidFill>
                <w14:schemeClr w14:val="tx1"/>
              </w14:solidFill>
            </w14:textFill>
          </w:rPr>
          <m:t>10</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。已知牵引力</w:t>
      </w:r>
      <m:oMath>
        <m:r>
          <m:rPr/>
          <w:rPr>
            <w:rFonts w:ascii="Cambria Math" w:hAnsi="Cambria Math"/>
            <w:color w:val="000000" w:themeColor="text1"/>
            <w:szCs w:val="21"/>
            <w14:textFill>
              <w14:solidFill>
                <w14:schemeClr w14:val="tx1"/>
              </w14:solidFill>
            </w14:textFill>
          </w:rPr>
          <m:t>F=</m:t>
        </m:r>
        <m:r>
          <m:rPr>
            <m:sty m:val="p"/>
          </m:rPr>
          <w:rPr>
            <w:rFonts w:ascii="Cambria Math" w:hAnsi="Cambria Math"/>
            <w:color w:val="000000" w:themeColor="text1"/>
            <w:szCs w:val="21"/>
            <w14:textFill>
              <w14:solidFill>
                <w14:schemeClr w14:val="tx1"/>
              </w14:solidFill>
            </w14:textFill>
          </w:rPr>
          <m:t>2000</m:t>
        </m:r>
        <m:r>
          <m:rPr>
            <m:nor/>
            <m:sty m:val="p"/>
          </m:rPr>
          <w:rPr>
            <w:color w:val="000000" w:themeColor="text1"/>
            <w:szCs w:val="21"/>
            <w14:textFill>
              <w14:solidFill>
                <w14:schemeClr w14:val="tx1"/>
              </w14:solidFill>
            </w14:textFill>
          </w:rPr>
          <m:t>N</m:t>
        </m:r>
      </m:oMath>
      <w:r>
        <w:rPr>
          <w:color w:val="000000" w:themeColor="text1"/>
          <w:szCs w:val="21"/>
          <w14:textFill>
            <w14:solidFill>
              <w14:schemeClr w14:val="tx1"/>
            </w14:solidFill>
          </w14:textFill>
        </w:rPr>
        <w:t>，阻力</w:t>
      </w:r>
      <m:oMath>
        <m:r>
          <m:rPr/>
          <w:rPr>
            <w:rFonts w:ascii="Cambria Math" w:hAnsi="Cambria Math"/>
            <w:color w:val="000000" w:themeColor="text1"/>
            <w:szCs w:val="21"/>
            <w14:textFill>
              <w14:solidFill>
                <w14:schemeClr w14:val="tx1"/>
              </w14:solidFill>
            </w14:textFill>
          </w:rPr>
          <m:t>f=</m:t>
        </m:r>
        <m:r>
          <m:rPr>
            <m:sty m:val="p"/>
          </m:rPr>
          <w:rPr>
            <w:rFonts w:ascii="Cambria Math" w:hAnsi="Cambria Math"/>
            <w:color w:val="000000" w:themeColor="text1"/>
            <w:szCs w:val="21"/>
            <w14:textFill>
              <w14:solidFill>
                <w14:schemeClr w14:val="tx1"/>
              </w14:solidFill>
            </w14:textFill>
          </w:rPr>
          <m:t>1000</m:t>
        </m:r>
        <m:r>
          <m:rPr>
            <m:nor/>
            <m:sty m:val="p"/>
          </m:rPr>
          <w:rPr>
            <w:color w:val="000000" w:themeColor="text1"/>
            <w:szCs w:val="21"/>
            <w14:textFill>
              <w14:solidFill>
                <w14:schemeClr w14:val="tx1"/>
              </w14:solidFill>
            </w14:textFill>
          </w:rPr>
          <m:t>N</m:t>
        </m:r>
      </m:oMath>
      <w:r>
        <w:rPr>
          <w:color w:val="000000" w:themeColor="text1"/>
          <w:szCs w:val="21"/>
          <w14:textFill>
            <w14:solidFill>
              <w14:schemeClr w14:val="tx1"/>
            </w14:solidFill>
          </w14:textFill>
        </w:rPr>
        <w:t>。求此时：</w:t>
      </w:r>
    </w:p>
    <w:p w14:paraId="204190F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(1)汽车的向心加速度大小；</w:t>
      </w:r>
    </w:p>
    <w:p w14:paraId="0E6287A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(2)汽车受到的合力大小。</w:t>
      </w:r>
    </w:p>
    <w:p w14:paraId="7F4E549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m:oMath>
        <m:r>
          <m:rPr>
            <m:sty m:val="p"/>
          </m:rPr>
          <w:rPr>
            <w:rFonts w:ascii="Cambria Math" w:hAnsi="Cambria Math"/>
            <w:color w:val="000000" w:themeColor="text1"/>
            <w:szCs w:val="21"/>
            <w14:textFill>
              <w14:solidFill>
                <w14:schemeClr w14:val="tx1"/>
              </w14:solidFill>
            </w14:textFill>
          </w:rPr>
          <m:t>5</m:t>
        </m:r>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m/s</m:t>
            </m:r>
            <m:ctrlPr>
              <w:rPr>
                <w:rFonts w:ascii="Cambria Math" w:hAnsi="Cambria Math"/>
                <w:color w:val="000000" w:themeColor="text1"/>
                <w:szCs w:val="21"/>
                <w14:textFill>
                  <w14:solidFill>
                    <w14:schemeClr w14:val="tx1"/>
                  </w14:solidFill>
                </w14:textFill>
              </w:rPr>
            </m:ctrlPr>
          </m:e>
          <m:sup>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m:sty m:val="p"/>
          </m:rPr>
          <w:rPr>
            <w:rFonts w:hint="eastAsia" w:ascii="Cambria Math" w:hAnsi="Cambria Math"/>
            <w:color w:val="000000" w:themeColor="text1"/>
            <w:szCs w:val="21"/>
            <w14:textFill>
              <w14:solidFill>
                <w14:schemeClr w14:val="tx1"/>
              </w14:solidFill>
            </w14:textFill>
          </w:rPr>
          <m:t>　　</m:t>
        </m:r>
      </m:oMath>
      <w:r>
        <w:rPr>
          <w:color w:val="000000" w:themeColor="text1"/>
          <w:szCs w:val="21"/>
          <w14:textFill>
            <w14:solidFill>
              <w14:schemeClr w14:val="tx1"/>
            </w14:solidFill>
          </w14:textFill>
        </w:rPr>
        <w:t>(2)</w:t>
      </w:r>
      <m:oMath>
        <m:r>
          <m:rPr>
            <m:sty m:val="p"/>
          </m:rPr>
          <w:rPr>
            <w:rFonts w:ascii="Cambria Math" w:hAnsi="Cambria Math"/>
            <w:color w:val="000000" w:themeColor="text1"/>
            <w:szCs w:val="21"/>
            <w14:textFill>
              <w14:solidFill>
                <w14:schemeClr w14:val="tx1"/>
              </w14:solidFill>
            </w14:textFill>
          </w:rPr>
          <m:t>1000</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101</m:t>
            </m:r>
            <m:ctrlPr>
              <w:rPr>
                <w:rFonts w:ascii="Cambria Math" w:hAnsi="Cambria Math"/>
                <w:color w:val="000000" w:themeColor="text1"/>
                <w:szCs w:val="21"/>
                <w14:textFill>
                  <w14:solidFill>
                    <w14:schemeClr w14:val="tx1"/>
                  </w14:solidFill>
                </w14:textFill>
              </w:rPr>
            </m:ctrlPr>
          </m:e>
        </m:rad>
        <m:r>
          <m:rPr>
            <m:nor/>
            <m:sty m:val="p"/>
          </m:rPr>
          <w:rPr>
            <w:color w:val="000000" w:themeColor="text1"/>
            <w:szCs w:val="21"/>
            <w14:textFill>
              <w14:solidFill>
                <w14:schemeClr w14:val="tx1"/>
              </w14:solidFill>
            </w14:textFill>
          </w:rPr>
          <m:t>N</m:t>
        </m:r>
      </m:oMath>
    </w:p>
    <w:p w14:paraId="479C5F1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【解析】(1)根据题意，由向心加速度公式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den>
        </m:f>
      </m:oMath>
    </w:p>
    <w:p w14:paraId="1EDE85E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可得汽车通过拱形桥顶部时向心加速度大小为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20</m:t>
            </m:r>
            <m:ctrlPr>
              <w:rPr>
                <w:rFonts w:ascii="Cambria Math" w:hAnsi="Cambria Math"/>
                <w:color w:val="000000" w:themeColor="text1"/>
                <w:szCs w:val="21"/>
                <w14:textFill>
                  <w14:solidFill>
                    <w14:schemeClr w14:val="tx1"/>
                  </w14:solidFill>
                </w14:textFill>
              </w:rPr>
            </m:ctrlPr>
          </m:den>
        </m:f>
        <m:sSup>
          <m:sSupPr>
            <m:ctrlPr>
              <w:rPr>
                <w:rFonts w:ascii="Cambria Math" w:hAnsi="Cambria Math"/>
                <w:color w:val="000000" w:themeColor="text1"/>
                <w:szCs w:val="21"/>
                <w14:textFill>
                  <w14:solidFill>
                    <w14:schemeClr w14:val="tx1"/>
                  </w14:solidFill>
                </w14:textFill>
              </w:rPr>
            </m:ctrlPr>
          </m:sSupPr>
          <m:e>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t>
        </m:r>
        <m:sSup>
          <m:sSupPr>
            <m:ctrlPr>
              <w:rPr>
                <w:rFonts w:ascii="Cambria Math" w:hAnsi="Cambria Math"/>
                <w:color w:val="000000" w:themeColor="text1"/>
                <w:szCs w:val="21"/>
                <w14:textFill>
                  <w14:solidFill>
                    <w14:schemeClr w14:val="tx1"/>
                  </w14:solidFill>
                </w14:textFill>
              </w:rPr>
            </m:ctrlPr>
          </m:sSupPr>
          <m:e>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p>
    <w:p w14:paraId="59C3042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(2)汽车在最高点时，水平方向上，有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x</m:t>
            </m:r>
            <m:r>
              <m:rPr>
                <m:sty m:val="p"/>
              </m:rPr>
              <w:rPr>
                <w:rFonts w:ascii="Cambria Math" w:hAnsi="Cambria Math"/>
                <w:color w:val="000000" w:themeColor="text1"/>
                <w:szCs w:val="21"/>
                <w14:textFill>
                  <w14:solidFill>
                    <w14:schemeClr w14:val="tx1"/>
                  </w14:solidFill>
                </w14:textFill>
              </w:rPr>
              <m:t>合</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=F−f=</m:t>
        </m:r>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r>
          <m:rPr>
            <m:nor/>
            <m:sty m:val="p"/>
          </m:rPr>
          <w:rPr>
            <w:color w:val="000000" w:themeColor="text1"/>
            <w:szCs w:val="21"/>
            <w14:textFill>
              <w14:solidFill>
                <w14:schemeClr w14:val="tx1"/>
              </w14:solidFill>
            </w14:textFill>
          </w:rPr>
          <m:t>N</m:t>
        </m:r>
      </m:oMath>
    </w:p>
    <w:p w14:paraId="2982DF8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竖直方向，根据向心力公式，有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y</m:t>
            </m:r>
            <m:r>
              <m:rPr>
                <m:sty m:val="p"/>
              </m:rPr>
              <w:rPr>
                <w:rFonts w:ascii="Cambria Math" w:hAnsi="Cambria Math"/>
                <w:color w:val="000000" w:themeColor="text1"/>
                <w:szCs w:val="21"/>
                <w14:textFill>
                  <w14:solidFill>
                    <w14:schemeClr w14:val="tx1"/>
                  </w14:solidFill>
                </w14:textFill>
              </w:rPr>
              <m:t>合</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sup>
        </m:sSup>
        <m:r>
          <m:rPr>
            <m:nor/>
            <m:sty m:val="p"/>
          </m:rPr>
          <w:rPr>
            <w:color w:val="000000" w:themeColor="text1"/>
            <w:szCs w:val="21"/>
            <w14:textFill>
              <w14:solidFill>
                <w14:schemeClr w14:val="tx1"/>
              </w14:solidFill>
            </w14:textFill>
          </w:rPr>
          <m:t>N</m:t>
        </m:r>
      </m:oMath>
    </w:p>
    <w:p w14:paraId="1CC5061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根据力的合成可得汽车在最高点受到的合力大小为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合</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x</m:t>
                </m:r>
                <m:r>
                  <m:rPr>
                    <m:sty m:val="p"/>
                  </m:rPr>
                  <w:rPr>
                    <w:rFonts w:ascii="Cambria Math" w:hAnsi="Cambria Math"/>
                    <w:color w:val="000000" w:themeColor="text1"/>
                    <w:szCs w:val="21"/>
                    <w14:textFill>
                      <w14:solidFill>
                        <w14:schemeClr w14:val="tx1"/>
                      </w14:solidFill>
                    </w14:textFill>
                  </w:rPr>
                  <m:t>合</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y</m:t>
                </m:r>
                <m:r>
                  <m:rPr>
                    <m:sty m:val="p"/>
                  </m:rPr>
                  <w:rPr>
                    <w:rFonts w:ascii="Cambria Math" w:hAnsi="Cambria Math"/>
                    <w:color w:val="000000" w:themeColor="text1"/>
                    <w:szCs w:val="21"/>
                    <w14:textFill>
                      <w14:solidFill>
                        <w14:schemeClr w14:val="tx1"/>
                      </w14:solidFill>
                    </w14:textFill>
                  </w:rPr>
                  <m:t>合</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1000</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101</m:t>
            </m:r>
            <m:ctrlPr>
              <w:rPr>
                <w:rFonts w:ascii="Cambria Math" w:hAnsi="Cambria Math"/>
                <w:color w:val="000000" w:themeColor="text1"/>
                <w:szCs w:val="21"/>
                <w14:textFill>
                  <w14:solidFill>
                    <w14:schemeClr w14:val="tx1"/>
                  </w14:solidFill>
                </w14:textFill>
              </w:rPr>
            </m:ctrlPr>
          </m:e>
        </m:rad>
        <m:r>
          <m:rPr>
            <m:nor/>
            <m:sty m:val="p"/>
          </m:rPr>
          <w:rPr>
            <w:color w:val="000000" w:themeColor="text1"/>
            <w:szCs w:val="21"/>
            <w14:textFill>
              <w14:solidFill>
                <w14:schemeClr w14:val="tx1"/>
              </w14:solidFill>
            </w14:textFill>
          </w:rPr>
          <m:t>N</m:t>
        </m:r>
      </m:oMath>
    </w:p>
    <w:p w14:paraId="4D87A35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15．扫地机器人可利用磁场对通电线圈的安培力实现悬浮与驱动。如图，一扫地机器人内含</w:t>
      </w:r>
      <m:oMath>
        <m:r>
          <m:rPr/>
          <w:rPr>
            <w:rFonts w:ascii="Cambria Math" w:hAnsi="Cambria Math"/>
            <w:color w:val="000000" w:themeColor="text1"/>
            <w:szCs w:val="21"/>
            <w14:textFill>
              <w14:solidFill>
                <w14:schemeClr w14:val="tx1"/>
              </w14:solidFill>
            </w14:textFill>
          </w:rPr>
          <m:t>abcd</m:t>
        </m:r>
      </m:oMath>
      <w:r>
        <w:rPr>
          <w:color w:val="000000" w:themeColor="text1"/>
          <w:szCs w:val="21"/>
          <w14:textFill>
            <w14:solidFill>
              <w14:schemeClr w14:val="tx1"/>
            </w14:solidFill>
          </w14:textFill>
        </w:rPr>
        <w:t>、</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两矩形线框，其中</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为平衡框，用于保持悬浮，</w:t>
      </w:r>
      <w:r>
        <w:rPr>
          <w:i/>
          <w:color w:val="000000" w:themeColor="text1"/>
          <w:szCs w:val="21"/>
          <w14:textFill>
            <w14:solidFill>
              <w14:schemeClr w14:val="tx1"/>
            </w14:solidFill>
          </w14:textFill>
        </w:rPr>
        <w:t>abcd</w:t>
      </w:r>
      <w:r>
        <w:rPr>
          <w:color w:val="000000" w:themeColor="text1"/>
          <w:szCs w:val="21"/>
          <w14:textFill>
            <w14:solidFill>
              <w14:schemeClr w14:val="tx1"/>
            </w14:solidFill>
          </w14:textFill>
        </w:rPr>
        <w:t>为驱动框，用于提供向前的动力。上下两导线中通电后，其间形成的磁场可视为匀强磁场，磁感应强度大小为</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，方向垂直纸面向里。每个框都有一条边长为</w:t>
      </w:r>
      <m:oMath>
        <m:r>
          <m:rPr/>
          <w:rPr>
            <w:rFonts w:ascii="Cambria Math" w:hAnsi="Cambria Math"/>
            <w:color w:val="000000" w:themeColor="text1"/>
            <w:szCs w:val="21"/>
            <w14:textFill>
              <w14:solidFill>
                <w14:schemeClr w14:val="tx1"/>
              </w14:solidFill>
            </w14:textFill>
          </w:rPr>
          <m:t>L</m:t>
        </m:r>
      </m:oMath>
      <w:r>
        <w:rPr>
          <w:color w:val="000000" w:themeColor="text1"/>
          <w:szCs w:val="21"/>
          <w14:textFill>
            <w14:solidFill>
              <w14:schemeClr w14:val="tx1"/>
            </w14:solidFill>
          </w14:textFill>
        </w:rPr>
        <w:t>并嵌入金属芯，金属芯使得该边处磁场的磁感应强度变为原来的</w:t>
      </w:r>
      <m:oMath>
        <m:r>
          <m:rPr/>
          <w:rPr>
            <w:rFonts w:ascii="Cambria Math" w:hAnsi="Cambria Math"/>
            <w:color w:val="000000" w:themeColor="text1"/>
            <w:szCs w:val="21"/>
            <w14:textFill>
              <w14:solidFill>
                <w14:schemeClr w14:val="tx1"/>
              </w14:solidFill>
            </w14:textFill>
          </w:rPr>
          <m:t>k</m:t>
        </m:r>
        <m:r>
          <m:rPr>
            <m:sty m:val="p"/>
          </m:rPr>
          <w:rPr>
            <w:rFonts w:ascii="Cambria Math" w:hAnsi="Cambria Math"/>
            <w:color w:val="000000" w:themeColor="text1"/>
            <w:szCs w:val="21"/>
            <w14:textFill>
              <w14:solidFill>
                <w14:schemeClr w14:val="tx1"/>
              </w14:solidFill>
            </w14:textFill>
          </w:rPr>
          <m:t>(</m:t>
        </m:r>
        <m:r>
          <m:rPr/>
          <w:rPr>
            <w:rFonts w:ascii="Cambria Math" w:hAnsi="Cambria Math"/>
            <w:color w:val="000000" w:themeColor="text1"/>
            <w:szCs w:val="21"/>
            <w14:textFill>
              <w14:solidFill>
                <w14:schemeClr w14:val="tx1"/>
              </w14:solidFill>
            </w14:textFill>
          </w:rPr>
          <m:t>k&gt;</m:t>
        </m:r>
        <m:r>
          <m:rPr>
            <m:sty m:val="p"/>
          </m:rPr>
          <w:rPr>
            <w:rFonts w:ascii="Cambria Math" w:hAnsi="Cambria Math"/>
            <w:color w:val="000000" w:themeColor="text1"/>
            <w:szCs w:val="21"/>
            <w14:textFill>
              <w14:solidFill>
                <w14:schemeClr w14:val="tx1"/>
              </w14:solidFill>
            </w14:textFill>
          </w:rPr>
          <m:t>1</m:t>
        </m:r>
      </m:oMath>
      <w:r>
        <w:rPr>
          <w:color w:val="000000" w:themeColor="text1"/>
          <w:szCs w:val="21"/>
          <w14:textFill>
            <w14:solidFill>
              <w14:schemeClr w14:val="tx1"/>
            </w14:solidFill>
          </w14:textFill>
        </w:rPr>
        <w:t>)倍。两线框通过绝缘杆固定连接，总质量为</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，运动过程中线框整体受到的摩擦阻力大小恒定，导线和线框均始终在同一竖直平面内，且线框的上下边与导线始终水平。</w:t>
      </w:r>
    </w:p>
    <w:p w14:paraId="6791BAD5">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3810000" cy="1590675"/>
            <wp:effectExtent l="0" t="0" r="0" b="0"/>
            <wp:docPr id="100035" name="图片 100035" descr="@@@96029ccc-6024-4e23-8e01-9d7a08661f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96029ccc-6024-4e23-8e01-9d7a08661f07"/>
                    <pic:cNvPicPr>
                      <a:picLocks noChangeAspect="1"/>
                    </pic:cNvPicPr>
                  </pic:nvPicPr>
                  <pic:blipFill>
                    <a:blip r:embed="rId22"/>
                    <a:stretch>
                      <a:fillRect/>
                    </a:stretch>
                  </pic:blipFill>
                  <pic:spPr>
                    <a:xfrm>
                      <a:off x="0" y="0"/>
                      <a:ext cx="3810000" cy="1590675"/>
                    </a:xfrm>
                    <a:prstGeom prst="rect">
                      <a:avLst/>
                    </a:prstGeom>
                  </pic:spPr>
                </pic:pic>
              </a:graphicData>
            </a:graphic>
          </wp:inline>
        </w:drawing>
      </w:r>
    </w:p>
    <w:p w14:paraId="5CB97E1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(1)为了使线框整体悬浮，求</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框中的电流</w:t>
      </w:r>
      <m:oMath>
        <m:r>
          <m:rPr/>
          <w:rPr>
            <w:rFonts w:ascii="Cambria Math" w:hAnsi="Cambria Math"/>
            <w:color w:val="000000" w:themeColor="text1"/>
            <w:szCs w:val="21"/>
            <w14:textFill>
              <w14:solidFill>
                <w14:schemeClr w14:val="tx1"/>
              </w14:solidFill>
            </w14:textFill>
          </w:rPr>
          <m:t>I</m:t>
        </m:r>
      </m:oMath>
      <w:r>
        <w:rPr>
          <w:color w:val="000000" w:themeColor="text1"/>
          <w:szCs w:val="21"/>
          <w14:textFill>
            <w14:solidFill>
              <w14:schemeClr w14:val="tx1"/>
            </w14:solidFill>
          </w14:textFill>
        </w:rPr>
        <w:t>的大小和方向；</w:t>
      </w:r>
    </w:p>
    <w:p w14:paraId="5327ADE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(2)若线框向右运行速度大小为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，求</w:t>
      </w:r>
      <m:oMath>
        <m:r>
          <m:rPr/>
          <w:rPr>
            <w:rFonts w:ascii="Cambria Math" w:hAnsi="Cambria Math"/>
            <w:color w:val="000000" w:themeColor="text1"/>
            <w:szCs w:val="21"/>
            <w14:textFill>
              <w14:solidFill>
                <w14:schemeClr w14:val="tx1"/>
              </w14:solidFill>
            </w14:textFill>
          </w:rPr>
          <m:t>ab</m:t>
        </m:r>
      </m:oMath>
      <w:r>
        <w:rPr>
          <w:color w:val="000000" w:themeColor="text1"/>
          <w:szCs w:val="21"/>
          <w14:textFill>
            <w14:solidFill>
              <w14:schemeClr w14:val="tx1"/>
            </w14:solidFill>
          </w14:textFill>
        </w:rPr>
        <w:t>边的感应电动势</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p>
    <w:p w14:paraId="34470D1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(3)若线框以速度大小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在水平方向上匀速运动，某时刻保持电流大小不变，仅将动力线框</w:t>
      </w:r>
      <m:oMath>
        <m:r>
          <m:rPr/>
          <w:rPr>
            <w:rFonts w:ascii="Cambria Math" w:hAnsi="Cambria Math"/>
            <w:color w:val="000000" w:themeColor="text1"/>
            <w:szCs w:val="21"/>
            <w14:textFill>
              <w14:solidFill>
                <w14:schemeClr w14:val="tx1"/>
              </w14:solidFill>
            </w14:textFill>
          </w:rPr>
          <m:t>abcd</m:t>
        </m:r>
      </m:oMath>
      <w:r>
        <w:rPr>
          <w:color w:val="000000" w:themeColor="text1"/>
          <w:szCs w:val="21"/>
          <w14:textFill>
            <w14:solidFill>
              <w14:schemeClr w14:val="tx1"/>
            </w14:solidFill>
          </w14:textFill>
        </w:rPr>
        <w:t>中的电流反向，线框在安培力和阻力作用下做匀减速直线运动，经过位移</w:t>
      </w:r>
      <m:oMath>
        <m:r>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后停止，求整个减速过程，动力线框</w:t>
      </w:r>
      <m:oMath>
        <m:r>
          <m:rPr/>
          <w:rPr>
            <w:rFonts w:ascii="Cambria Math" w:hAnsi="Cambria Math"/>
            <w:color w:val="000000" w:themeColor="text1"/>
            <w:szCs w:val="21"/>
            <w14:textFill>
              <w14:solidFill>
                <w14:schemeClr w14:val="tx1"/>
              </w14:solidFill>
            </w14:textFill>
          </w:rPr>
          <m:t>cd</m:t>
        </m:r>
      </m:oMath>
      <w:r>
        <w:rPr>
          <w:color w:val="000000" w:themeColor="text1"/>
          <w:szCs w:val="21"/>
          <w14:textFill>
            <w14:solidFill>
              <w14:schemeClr w14:val="tx1"/>
            </w14:solidFill>
          </w14:textFill>
        </w:rPr>
        <w:t>边所受安培力的平均功率</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w:t>
      </w:r>
    </w:p>
    <w:p w14:paraId="1860784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m:oMath>
        <m:r>
          <m:rPr/>
          <w:rPr>
            <w:rFonts w:ascii="Cambria Math" w:hAnsi="Cambria Math"/>
            <w:color w:val="000000" w:themeColor="text1"/>
            <w:szCs w:val="21"/>
            <w14:textFill>
              <w14:solidFill>
                <w14:schemeClr w14:val="tx1"/>
              </w14:solidFill>
            </w14:textFill>
          </w:rPr>
          <m:t>I=</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mg</m:t>
            </m:r>
            <m:ctrlPr>
              <w:rPr>
                <w:rFonts w:ascii="Cambria Math" w:hAnsi="Cambria Math"/>
                <w:color w:val="000000" w:themeColor="text1"/>
                <w:szCs w:val="21"/>
                <w14:textFill>
                  <w14:solidFill>
                    <w14:schemeClr w14:val="tx1"/>
                  </w14:solidFill>
                </w14:textFill>
              </w:rPr>
            </m:ctrlPr>
          </m:num>
          <m:den>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k−</m:t>
                </m:r>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BL</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，电流方向为逆时针</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(2)</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=BL</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m:sty m:val="p"/>
          </m:rPr>
          <w:rPr>
            <w:rFonts w:hint="eastAsia" w:ascii="Cambria Math" w:hAnsi="Cambria Math"/>
            <w:color w:val="000000" w:themeColor="text1"/>
            <w:szCs w:val="21"/>
            <w14:textFill>
              <w14:solidFill>
                <w14:schemeClr w14:val="tx1"/>
              </w14:solidFill>
            </w14:textFill>
          </w:rPr>
          <m:t>　　</m:t>
        </m:r>
      </m:oMath>
      <w:r>
        <w:rPr>
          <w:color w:val="000000" w:themeColor="text1"/>
          <w:szCs w:val="21"/>
          <w14:textFill>
            <w14:solidFill>
              <w14:schemeClr w14:val="tx1"/>
            </w14:solidFill>
          </w14:textFill>
        </w:rPr>
        <w:t>(3)</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8</m:t>
            </m:r>
            <m:r>
              <m:rPr/>
              <w:rPr>
                <w:rFonts w:ascii="Cambria Math" w:hAnsi="Cambria Math"/>
                <w:color w:val="000000" w:themeColor="text1"/>
                <w:szCs w:val="21"/>
                <w14:textFill>
                  <w14:solidFill>
                    <w14:schemeClr w14:val="tx1"/>
                  </w14:solidFill>
                </w14:textFill>
              </w:rPr>
              <m:t>s</m:t>
            </m:r>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k−</m:t>
                </m:r>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den>
        </m:f>
      </m:oMath>
    </w:p>
    <w:p w14:paraId="67D6301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【解析】(1)根据题意可知，为了使线框整体悬浮，根据平衡条件，有</w:t>
      </w:r>
      <m:oMath>
        <m:r>
          <m:rPr/>
          <w:rPr>
            <w:rFonts w:ascii="Cambria Math" w:hAnsi="Cambria Math"/>
            <w:color w:val="000000" w:themeColor="text1"/>
            <w:szCs w:val="21"/>
            <w14:textFill>
              <w14:solidFill>
                <w14:schemeClr w14:val="tx1"/>
              </w14:solidFill>
            </w14:textFill>
          </w:rPr>
          <m:t>kBIL−BIL=mg</m:t>
        </m:r>
      </m:oMath>
    </w:p>
    <w:p w14:paraId="1EFFBFB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框中的电流大小为</w:t>
      </w:r>
      <m:oMath>
        <m:r>
          <m:rPr/>
          <w:rPr>
            <w:rFonts w:ascii="Cambria Math" w:hAnsi="Cambria Math"/>
            <w:color w:val="000000" w:themeColor="text1"/>
            <w:szCs w:val="21"/>
            <w14:textFill>
              <w14:solidFill>
                <w14:schemeClr w14:val="tx1"/>
              </w14:solidFill>
            </w14:textFill>
          </w:rPr>
          <m:t>I=</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mg</m:t>
            </m:r>
            <m:ctrlPr>
              <w:rPr>
                <w:rFonts w:ascii="Cambria Math" w:hAnsi="Cambria Math"/>
                <w:color w:val="000000" w:themeColor="text1"/>
                <w:szCs w:val="21"/>
                <w14:textFill>
                  <w14:solidFill>
                    <w14:schemeClr w14:val="tx1"/>
                  </w14:solidFill>
                </w14:textFill>
              </w:rPr>
            </m:ctrlPr>
          </m:num>
          <m:den>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k−</m:t>
                </m:r>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BL</m:t>
            </m:r>
            <m:ctrlPr>
              <w:rPr>
                <w:rFonts w:ascii="Cambria Math" w:hAnsi="Cambria Math"/>
                <w:color w:val="000000" w:themeColor="text1"/>
                <w:szCs w:val="21"/>
                <w14:textFill>
                  <w14:solidFill>
                    <w14:schemeClr w14:val="tx1"/>
                  </w14:solidFill>
                </w14:textFill>
              </w:rPr>
            </m:ctrlPr>
          </m:den>
        </m:f>
      </m:oMath>
    </w:p>
    <w:p w14:paraId="546AB5C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由左手定则可知，电流方向为逆时针。</w:t>
      </w:r>
    </w:p>
    <w:p w14:paraId="1CCBAAF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(2)若机器人向右运行速度为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，根据动生电动势的计算公式可得</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边的感应电动势为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=BL</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p>
    <w:p w14:paraId="4C6BB21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(3)根据题意，若某时刻线框的水平速度为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，由于</w:t>
      </w:r>
      <w:r>
        <w:rPr>
          <w:i/>
          <w:color w:val="000000" w:themeColor="text1"/>
          <w:szCs w:val="21"/>
          <w14:textFill>
            <w14:solidFill>
              <w14:schemeClr w14:val="tx1"/>
            </w14:solidFill>
          </w14:textFill>
        </w:rPr>
        <w:t>cd</w:t>
      </w:r>
      <w:r>
        <w:rPr>
          <w:color w:val="000000" w:themeColor="text1"/>
          <w:szCs w:val="21"/>
          <w14:textFill>
            <w14:solidFill>
              <w14:schemeClr w14:val="tx1"/>
            </w14:solidFill>
          </w14:textFill>
        </w:rPr>
        <w:t>边所受安培力一直为</w:t>
      </w:r>
      <m:oMath>
        <m:r>
          <m:rPr/>
          <w:rPr>
            <w:rFonts w:ascii="Cambria Math" w:hAnsi="Cambria Math"/>
            <w:color w:val="000000" w:themeColor="text1"/>
            <w:szCs w:val="21"/>
            <w14:textFill>
              <w14:solidFill>
                <w14:schemeClr w14:val="tx1"/>
              </w14:solidFill>
            </w14:textFill>
          </w:rPr>
          <m:t>ab</m:t>
        </m:r>
      </m:oMath>
      <w:r>
        <w:rPr>
          <w:color w:val="000000" w:themeColor="text1"/>
          <w:szCs w:val="21"/>
          <w14:textFill>
            <w14:solidFill>
              <w14:schemeClr w14:val="tx1"/>
            </w14:solidFill>
          </w14:textFill>
        </w:rPr>
        <w:t>边所受安培力的</w:t>
      </w:r>
      <m:oMath>
        <m:r>
          <m:rPr/>
          <w:rPr>
            <w:rFonts w:ascii="Cambria Math" w:hAnsi="Cambria Math"/>
            <w:color w:val="000000" w:themeColor="text1"/>
            <w:szCs w:val="21"/>
            <w14:textFill>
              <w14:solidFill>
                <w14:schemeClr w14:val="tx1"/>
              </w14:solidFill>
            </w14:textFill>
          </w:rPr>
          <m:t>k</m:t>
        </m:r>
      </m:oMath>
      <w:r>
        <w:rPr>
          <w:color w:val="000000" w:themeColor="text1"/>
          <w:szCs w:val="21"/>
          <w14:textFill>
            <w14:solidFill>
              <w14:schemeClr w14:val="tx1"/>
            </w14:solidFill>
          </w14:textFill>
        </w:rPr>
        <w:t>倍，设</w:t>
      </w:r>
      <w:r>
        <w:rPr>
          <w:i/>
          <w:color w:val="000000" w:themeColor="text1"/>
          <w:szCs w:val="21"/>
          <w14:textFill>
            <w14:solidFill>
              <w14:schemeClr w14:val="tx1"/>
            </w14:solidFill>
          </w14:textFill>
        </w:rPr>
        <w:t>cd</w:t>
      </w:r>
      <w:r>
        <w:rPr>
          <w:color w:val="000000" w:themeColor="text1"/>
          <w:szCs w:val="21"/>
          <w14:textFill>
            <w14:solidFill>
              <w14:schemeClr w14:val="tx1"/>
            </w14:solidFill>
          </w14:textFill>
        </w:rPr>
        <w:t>边所受安培力大小为</w:t>
      </w:r>
      <m:oMath>
        <m:r>
          <m:rPr/>
          <w:rPr>
            <w:rFonts w:ascii="Cambria Math" w:hAnsi="Cambria Math"/>
            <w:color w:val="000000" w:themeColor="text1"/>
            <w:szCs w:val="21"/>
            <w14:textFill>
              <w14:solidFill>
                <w14:schemeClr w14:val="tx1"/>
              </w14:solidFill>
            </w14:textFill>
          </w:rPr>
          <m:t>F</m:t>
        </m:r>
      </m:oMath>
      <w:r>
        <w:rPr>
          <w:color w:val="000000" w:themeColor="text1"/>
          <w:szCs w:val="21"/>
          <w14:textFill>
            <w14:solidFill>
              <w14:schemeClr w14:val="tx1"/>
            </w14:solidFill>
          </w14:textFill>
        </w:rPr>
        <w:t>，则</w:t>
      </w:r>
      <m:oMath>
        <m:r>
          <m:rPr/>
          <w:rPr>
            <w:rFonts w:ascii="Cambria Math" w:hAnsi="Cambria Math"/>
            <w:color w:val="000000" w:themeColor="text1"/>
            <w:szCs w:val="21"/>
            <w14:textFill>
              <w14:solidFill>
                <w14:schemeClr w14:val="tx1"/>
              </w14:solidFill>
            </w14:textFill>
          </w:rPr>
          <m:t>ab</m:t>
        </m:r>
      </m:oMath>
      <w:r>
        <w:rPr>
          <w:color w:val="000000" w:themeColor="text1"/>
          <w:szCs w:val="21"/>
          <w14:textFill>
            <w14:solidFill>
              <w14:schemeClr w14:val="tx1"/>
            </w14:solidFill>
          </w14:textFill>
        </w:rPr>
        <w:t>边所受安培力大小为</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，根据平衡条件，有</w:t>
      </w:r>
      <m:oMath>
        <m:r>
          <m:rPr/>
          <w:rPr>
            <w:rFonts w:ascii="Cambria Math" w:hAnsi="Cambria Math"/>
            <w:color w:val="000000" w:themeColor="text1"/>
            <w:szCs w:val="21"/>
            <w14:textFill>
              <w14:solidFill>
                <w14:schemeClr w14:val="tx1"/>
              </w14:solidFill>
            </w14:textFill>
          </w:rPr>
          <m:t>F−</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=f</m:t>
        </m:r>
      </m:oMath>
    </w:p>
    <w:p w14:paraId="5A9C9BD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保持电流大小不变，方向反向，根据左手定则可知线框受到的安培力方向反向，由牛顿第二定律，有</w:t>
      </w:r>
      <m:oMath>
        <m:r>
          <m:rPr/>
          <w:rPr>
            <w:rFonts w:ascii="Cambria Math" w:hAnsi="Cambria Math"/>
            <w:color w:val="000000" w:themeColor="text1"/>
            <w:szCs w:val="21"/>
            <w14:textFill>
              <w14:solidFill>
                <w14:schemeClr w14:val="tx1"/>
              </w14:solidFill>
            </w14:textFill>
          </w:rPr>
          <m:t>f+F−</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=ma</m:t>
        </m:r>
      </m:oMath>
    </w:p>
    <w:p w14:paraId="45142FE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根据匀变速直线运动的速度-位移关系，有</w:t>
      </w:r>
      <m:oMath>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as</m:t>
        </m:r>
      </m:oMath>
    </w:p>
    <w:p w14:paraId="327E506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解得线框</w:t>
      </w:r>
      <w:r>
        <w:rPr>
          <w:i/>
          <w:color w:val="000000" w:themeColor="text1"/>
          <w:szCs w:val="21"/>
          <w14:textFill>
            <w14:solidFill>
              <w14:schemeClr w14:val="tx1"/>
            </w14:solidFill>
          </w14:textFill>
        </w:rPr>
        <w:t>cd</w:t>
      </w:r>
      <w:r>
        <w:rPr>
          <w:color w:val="000000" w:themeColor="text1"/>
          <w:szCs w:val="21"/>
          <w14:textFill>
            <w14:solidFill>
              <w14:schemeClr w14:val="tx1"/>
            </w14:solidFill>
          </w14:textFill>
        </w:rPr>
        <w:t>边所受安培力大小为</w:t>
      </w:r>
      <m:oMath>
        <m:r>
          <m:rPr/>
          <w:rPr>
            <w:rFonts w:ascii="Cambria Math" w:hAnsi="Cambria Math"/>
            <w:color w:val="000000" w:themeColor="text1"/>
            <w:szCs w:val="21"/>
            <w14:textFill>
              <w14:solidFill>
                <w14:schemeClr w14:val="tx1"/>
              </w14:solidFill>
            </w14:textFill>
          </w:rPr>
          <m:t>F=</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s</m:t>
            </m:r>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k−</m:t>
                </m:r>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den>
        </m:f>
      </m:oMath>
    </w:p>
    <w:p w14:paraId="32DECAE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线框</w:t>
      </w:r>
      <w:r>
        <w:rPr>
          <w:i/>
          <w:color w:val="000000" w:themeColor="text1"/>
          <w:szCs w:val="21"/>
          <w14:textFill>
            <w14:solidFill>
              <w14:schemeClr w14:val="tx1"/>
            </w14:solidFill>
          </w14:textFill>
        </w:rPr>
        <w:t>cd</w:t>
      </w:r>
      <w:r>
        <w:rPr>
          <w:color w:val="000000" w:themeColor="text1"/>
          <w:szCs w:val="21"/>
          <w14:textFill>
            <w14:solidFill>
              <w14:schemeClr w14:val="tx1"/>
            </w14:solidFill>
          </w14:textFill>
        </w:rPr>
        <w:t>边所受安培力的平均功率</w:t>
      </w:r>
      <m:oMath>
        <m:r>
          <m:rPr/>
          <w:rPr>
            <w:rFonts w:ascii="Cambria Math" w:hAnsi="Cambria Math"/>
            <w:color w:val="000000" w:themeColor="text1"/>
            <w:szCs w:val="21"/>
            <w14:textFill>
              <w14:solidFill>
                <w14:schemeClr w14:val="tx1"/>
              </w14:solidFill>
            </w14:textFill>
          </w:rPr>
          <m:t>P=F</m:t>
        </m:r>
        <m:acc>
          <m:accPr>
            <m:chr m:val="̅"/>
            <m:ctrlPr>
              <w:rPr>
                <w:rFonts w:ascii="Cambria Math" w:hAnsi="Cambria Math"/>
                <w:color w:val="000000" w:themeColor="text1"/>
                <w:szCs w:val="21"/>
                <w14:textFill>
                  <w14:solidFill>
                    <w14:schemeClr w14:val="tx1"/>
                  </w14:solidFill>
                </w14:textFill>
              </w:rPr>
            </m:ctrlPr>
          </m:acc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acc>
        <m:r>
          <m:rPr/>
          <w:rPr>
            <w:rFonts w:ascii="Cambria Math" w:hAnsi="Cambria Math"/>
            <w:color w:val="000000" w:themeColor="text1"/>
            <w:szCs w:val="21"/>
            <w14:textFill>
              <w14:solidFill>
                <w14:schemeClr w14:val="tx1"/>
              </w14:solidFill>
            </w14:textFill>
          </w:rPr>
          <m:t>=F⋅</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8</m:t>
            </m:r>
            <m:r>
              <m:rPr/>
              <w:rPr>
                <w:rFonts w:ascii="Cambria Math" w:hAnsi="Cambria Math"/>
                <w:color w:val="000000" w:themeColor="text1"/>
                <w:szCs w:val="21"/>
                <w14:textFill>
                  <w14:solidFill>
                    <w14:schemeClr w14:val="tx1"/>
                  </w14:solidFill>
                </w14:textFill>
              </w:rPr>
              <m:t>s</m:t>
            </m:r>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k−</m:t>
                </m:r>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den>
        </m:f>
      </m:oMath>
    </w:p>
    <w:p w14:paraId="281A805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16．如图所示，在光滑水平面上固定两个柱形光滑轨道，轨道上分别约束着只能沿轨道方向运动的两个小球B和C，质量均为</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5</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。小球B和C通过弹性限度足够大的相同轻质弹簧与质量为</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的小球A相连。初始时，两弹簧均处于原长。现有一质量为</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的小球D以速度</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沿轨道方向与小球A发生对心弹性碰撞，碰撞时间极短，不计空气阻力。</w:t>
      </w:r>
    </w:p>
    <w:p w14:paraId="1BBB7370">
      <w:pPr>
        <w:spacing w:line="360" w:lineRule="auto"/>
        <w:jc w:val="left"/>
        <w:rPr>
          <w:color w:val="000000" w:themeColor="text1"/>
          <w:szCs w:val="21"/>
          <w14:textFill>
            <w14:solidFill>
              <w14:schemeClr w14:val="tx1"/>
            </w14:solidFill>
          </w14:textFill>
        </w:rPr>
      </w:pPr>
      <w:r>
        <w:drawing>
          <wp:inline distT="0" distB="0" distL="0" distR="0">
            <wp:extent cx="3105785" cy="21043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3"/>
                    <a:stretch>
                      <a:fillRect/>
                    </a:stretch>
                  </pic:blipFill>
                  <pic:spPr>
                    <a:xfrm>
                      <a:off x="0" y="0"/>
                      <a:ext cx="3110813" cy="2108105"/>
                    </a:xfrm>
                    <a:prstGeom prst="rect">
                      <a:avLst/>
                    </a:prstGeom>
                  </pic:spPr>
                </pic:pic>
              </a:graphicData>
            </a:graphic>
          </wp:inline>
        </w:drawing>
      </w:r>
    </w:p>
    <w:p w14:paraId="014848A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(1)求小球D与A碰撞后瞬间小球A的速度大小；</w:t>
      </w:r>
    </w:p>
    <w:p w14:paraId="4D174A7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(2)若发生碰撞后小球D不再与A碰撞，求每根弹簧所具有的最大弹性势能；</w:t>
      </w:r>
    </w:p>
    <w:p w14:paraId="11917CE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(3)要使弹簧第一次恢复原长时，小球D与A恰好再次发生碰撞，求</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的值。</w:t>
      </w:r>
    </w:p>
    <w:p w14:paraId="7C5F585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m:sty m:val="p"/>
          </m:rPr>
          <w:rPr>
            <w:rFonts w:hint="eastAsia" w:ascii="Cambria Math" w:hAnsi="Cambria Math"/>
            <w:color w:val="000000" w:themeColor="text1"/>
            <w:szCs w:val="21"/>
            <w14:textFill>
              <w14:solidFill>
                <w14:schemeClr w14:val="tx1"/>
              </w14:solidFill>
            </w14:textFill>
          </w:rPr>
          <m:t>　　</m:t>
        </m:r>
      </m:oMath>
      <w:r>
        <w:rPr>
          <w:color w:val="000000" w:themeColor="text1"/>
          <w:szCs w:val="21"/>
          <w14:textFill>
            <w14:solidFill>
              <w14:schemeClr w14:val="tx1"/>
            </w14:solidFill>
          </w14:textFill>
        </w:rPr>
        <w:t>(2)</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11</m:t>
            </m:r>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r>
          <m:rPr>
            <m:sty m:val="p"/>
          </m:rPr>
          <w:rPr>
            <w:rFonts w:hint="eastAsia" w:ascii="Cambria Math" w:hAnsi="Cambria Math"/>
            <w:color w:val="000000" w:themeColor="text1"/>
            <w:szCs w:val="21"/>
            <w14:textFill>
              <w14:solidFill>
                <w14:schemeClr w14:val="tx1"/>
              </w14:solidFill>
            </w14:textFill>
          </w:rPr>
          <m:t>　　</m:t>
        </m:r>
      </m:oMath>
      <w:r>
        <w:rPr>
          <w:color w:val="000000" w:themeColor="text1"/>
          <w:szCs w:val="21"/>
          <w14:textFill>
            <w14:solidFill>
              <w14:schemeClr w14:val="tx1"/>
            </w14:solidFill>
          </w14:textFill>
        </w:rPr>
        <w:t>(3)</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den>
        </m:f>
      </m:oMath>
    </w:p>
    <w:p w14:paraId="6E30ACC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【解析】(1)根据题意可知，小球D与小球A发生弹性正碰，由动量守恒定律，有</w:t>
      </w:r>
      <m:oMath>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Sub>
      </m:oMath>
    </w:p>
    <w:p w14:paraId="5C60D5B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由能量守恒定律，有</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oMath>
    </w:p>
    <w:p w14:paraId="09F3805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联立解得小球D与A碰撞后瞬间小球D和小球A的速度分别为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p>
    <w:p w14:paraId="5D9009B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(2)根据题意可知，小球A、B、C共速时，弹簧的形变量最大，弹簧的弹性势能最大，由动量守恒定律，有</w:t>
      </w:r>
      <m:oMath>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m+</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d>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共</m:t>
            </m:r>
            <m:ctrlPr>
              <w:rPr>
                <w:rFonts w:ascii="Cambria Math" w:hAnsi="Cambria Math"/>
                <w:color w:val="000000" w:themeColor="text1"/>
                <w:szCs w:val="21"/>
                <w14:textFill>
                  <w14:solidFill>
                    <w14:schemeClr w14:val="tx1"/>
                  </w14:solidFill>
                </w14:textFill>
              </w:rPr>
            </m:ctrlPr>
          </m:sub>
        </m:sSub>
      </m:oMath>
    </w:p>
    <w:p w14:paraId="79D15F1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由机械能守恒定律，有</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m+</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d>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共</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oMath>
    </w:p>
    <w:p w14:paraId="703AA6C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解得每根弹簧所具有的最大弹性势能为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11</m:t>
            </m:r>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p>
    <w:p w14:paraId="151C6EC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(3)根据题意，设小球D与小球A发生弹性正碰后到弹簧再次恢复原长的时间为</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，由动量守恒定律，有</w:t>
      </w:r>
      <m:oMath>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d>
          <m:dPr>
            <m:ctrlPr>
              <w:rPr>
                <w:rFonts w:ascii="Cambria Math" w:hAnsi="Cambria Math"/>
                <w:color w:val="000000" w:themeColor="text1"/>
                <w:szCs w:val="21"/>
                <w14:textFill>
                  <w14:solidFill>
                    <w14:schemeClr w14:val="tx1"/>
                  </w14:solidFill>
                </w14:textFill>
              </w:rPr>
            </m:ctrlPr>
          </m:dPr>
          <m:e>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d>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oMath>
    </w:p>
    <w:p w14:paraId="7ED22CA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整理可得</w:t>
      </w:r>
      <m:oMath>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t=mx+</m:t>
        </m:r>
        <m:d>
          <m:dPr>
            <m:ctrlPr>
              <w:rPr>
                <w:rFonts w:ascii="Cambria Math" w:hAnsi="Cambria Math"/>
                <w:color w:val="000000" w:themeColor="text1"/>
                <w:szCs w:val="21"/>
                <w14:textFill>
                  <w14:solidFill>
                    <w14:schemeClr w14:val="tx1"/>
                  </w14:solidFill>
                </w14:textFill>
              </w:rPr>
            </m:ctrlPr>
          </m:dPr>
          <m:e>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x</m:t>
        </m:r>
      </m:oMath>
    </w:p>
    <w:p w14:paraId="60078EC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要使弹簧恢复原长时，</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与</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能再次发生碰撞，则有</w:t>
      </w:r>
      <m:oMath>
        <m:r>
          <m:rPr/>
          <w:rPr>
            <w:rFonts w:ascii="Cambria Math" w:hAnsi="Cambria Math"/>
            <w:color w:val="000000" w:themeColor="text1"/>
            <w:szCs w:val="21"/>
            <w14:textFill>
              <w14:solidFill>
                <w14:schemeClr w14:val="tx1"/>
              </w14:solidFill>
            </w14:textFill>
          </w:rPr>
          <m:t>x=</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oMath>
    </w:p>
    <w:p w14:paraId="1CFE5F2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整理可得</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5</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oMath>
    </w:p>
    <w:p w14:paraId="6595781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解得打球的质量</w:t>
      </w:r>
      <m:oMath>
        <m:r>
          <m:rPr/>
          <w:rPr>
            <w:rFonts w:ascii="Cambria Math" w:hAnsi="Cambria Math"/>
            <w:color w:val="000000" w:themeColor="text1"/>
            <w:szCs w:val="21"/>
            <w14:textFill>
              <w14:solidFill>
                <w14:schemeClr w14:val="tx1"/>
              </w14:solidFill>
            </w14:textFill>
          </w:rPr>
          <m:t>M=</m:t>
        </m:r>
        <m:r>
          <m:rPr>
            <m:sty m:val="p"/>
          </m:rPr>
          <w:rPr>
            <w:rFonts w:ascii="Cambria Math" w:hAnsi="Cambria Math"/>
            <w:color w:val="000000" w:themeColor="text1"/>
            <w:szCs w:val="21"/>
            <w14:textFill>
              <w14:solidFill>
                <w14:schemeClr w14:val="tx1"/>
              </w14:solidFill>
            </w14:textFill>
          </w:rPr>
          <m:t>11</m:t>
        </m:r>
        <m:r>
          <m:rPr/>
          <w:rPr>
            <w:rFonts w:ascii="Cambria Math" w:hAnsi="Cambria Math"/>
            <w:color w:val="000000" w:themeColor="text1"/>
            <w:szCs w:val="21"/>
            <w14:textFill>
              <w14:solidFill>
                <w14:schemeClr w14:val="tx1"/>
              </w14:solidFill>
            </w14:textFill>
          </w:rPr>
          <m:t>m</m:t>
        </m:r>
      </m:oMath>
    </w:p>
    <w:p w14:paraId="322C0BA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即球质量</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和大球质量</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的质量比</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w:t>
      </w:r>
    </w:p>
    <w:p w14:paraId="5EC7D996">
      <w:pPr>
        <w:spacing w:line="360" w:lineRule="auto"/>
        <w:jc w:val="left"/>
        <w:rPr>
          <w:color w:val="000000" w:themeColor="text1"/>
          <w:szCs w:val="21"/>
          <w14:textFill>
            <w14:solidFill>
              <w14:schemeClr w14:val="tx1"/>
            </w14:solidFill>
          </w14:textFill>
        </w:rPr>
      </w:pPr>
    </w:p>
    <w:sectPr>
      <w:footerReference r:id="rId3" w:type="default"/>
      <w:footerReference r:id="rId4" w:type="even"/>
      <w:pgSz w:w="11907" w:h="16839"/>
      <w:pgMar w:top="1440" w:right="1800" w:bottom="1440" w:left="1800" w:header="851" w:footer="425"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Cambria Math">
    <w:panose1 w:val="02040503050406030204"/>
    <w:charset w:val="00"/>
    <w:family w:val="roman"/>
    <w:pitch w:val="default"/>
    <w:sig w:usb0="E00002FF" w:usb1="420024FF" w:usb2="00000000" w:usb3="00000000" w:csb0="2000019F" w:csb1="00000000"/>
  </w:font>
  <w:font w:name="Book Antiqua">
    <w:panose1 w:val="02040602050305030304"/>
    <w:charset w:val="00"/>
    <w:family w:val="roman"/>
    <w:pitch w:val="default"/>
    <w:sig w:usb0="00000287" w:usb1="00000000" w:usb2="00000000" w:usb3="00000000" w:csb0="2000009F" w:csb1="DFD70000"/>
  </w:font>
  <w:font w:name="MS Mincho">
    <w:panose1 w:val="02020609040205080304"/>
    <w:charset w:val="80"/>
    <w:family w:val="modern"/>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EE4043">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11</w:instrText>
    </w:r>
    <w:r>
      <w:fldChar w:fldCharType="end"/>
    </w:r>
    <w:r>
      <w:instrText xml:space="preserve"> </w:instrText>
    </w:r>
    <w:r>
      <w:fldChar w:fldCharType="separate"/>
    </w:r>
    <w:r>
      <w:t>11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11</w:instrText>
    </w:r>
    <w:r>
      <w:fldChar w:fldCharType="end"/>
    </w:r>
    <w:r>
      <w:instrText xml:space="preserve"> </w:instrText>
    </w:r>
    <w:r>
      <w:fldChar w:fldCharType="separate"/>
    </w:r>
    <w:r>
      <w:t>11</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03B886">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10</w:instrText>
    </w:r>
    <w:r>
      <w:fldChar w:fldCharType="end"/>
    </w:r>
    <w:r>
      <w:instrText xml:space="preserve"> </w:instrText>
    </w:r>
    <w:r>
      <w:fldChar w:fldCharType="separate"/>
    </w:r>
    <w:r>
      <w:t>10</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11</w:instrText>
    </w:r>
    <w:r>
      <w:fldChar w:fldCharType="end"/>
    </w:r>
    <w:r>
      <w:instrText xml:space="preserve"> </w:instrText>
    </w:r>
    <w:r>
      <w:fldChar w:fldCharType="separate"/>
    </w:r>
    <w:r>
      <w:t>11</w:t>
    </w:r>
    <w:r>
      <w:fldChar w:fldCharType="end"/>
    </w:r>
    <w:r>
      <w:rPr>
        <w:rFonts w:hint="eastAsia"/>
      </w:rPr>
      <w:t>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0913BC"/>
    <w:rsid w:val="000D1FCF"/>
    <w:rsid w:val="001200EA"/>
    <w:rsid w:val="00121D25"/>
    <w:rsid w:val="001413C7"/>
    <w:rsid w:val="001D7A06"/>
    <w:rsid w:val="002079E7"/>
    <w:rsid w:val="00284433"/>
    <w:rsid w:val="002923F7"/>
    <w:rsid w:val="002A1EC6"/>
    <w:rsid w:val="002E035E"/>
    <w:rsid w:val="00321E61"/>
    <w:rsid w:val="003507CA"/>
    <w:rsid w:val="004E3557"/>
    <w:rsid w:val="004E46D8"/>
    <w:rsid w:val="00537201"/>
    <w:rsid w:val="006A4C40"/>
    <w:rsid w:val="006B16C5"/>
    <w:rsid w:val="00745944"/>
    <w:rsid w:val="00776133"/>
    <w:rsid w:val="007E5903"/>
    <w:rsid w:val="00811C76"/>
    <w:rsid w:val="008461E8"/>
    <w:rsid w:val="00855687"/>
    <w:rsid w:val="008C07DE"/>
    <w:rsid w:val="009E4E76"/>
    <w:rsid w:val="00A30CCE"/>
    <w:rsid w:val="00AC3E9C"/>
    <w:rsid w:val="00AF51B9"/>
    <w:rsid w:val="00BA45DA"/>
    <w:rsid w:val="00BC2225"/>
    <w:rsid w:val="00BC4F14"/>
    <w:rsid w:val="00BC62FB"/>
    <w:rsid w:val="00BF535F"/>
    <w:rsid w:val="00C05D34"/>
    <w:rsid w:val="00C22F1C"/>
    <w:rsid w:val="00C806B0"/>
    <w:rsid w:val="00CF217F"/>
    <w:rsid w:val="00D405C7"/>
    <w:rsid w:val="00DA79DF"/>
    <w:rsid w:val="00E33E31"/>
    <w:rsid w:val="00E476EE"/>
    <w:rsid w:val="00E52F8D"/>
    <w:rsid w:val="00E755CF"/>
    <w:rsid w:val="00EF035E"/>
    <w:rsid w:val="00F16B29"/>
    <w:rsid w:val="00FD2A98"/>
    <w:rsid w:val="040D7E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4"/>
    <w:basedOn w:val="1"/>
    <w:next w:val="1"/>
    <w:link w:val="10"/>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8"/>
    <w:unhideWhenUsed/>
    <w:uiPriority w:val="99"/>
    <w:pPr>
      <w:tabs>
        <w:tab w:val="center" w:pos="4153"/>
        <w:tab w:val="right" w:pos="8306"/>
      </w:tabs>
      <w:snapToGrid w:val="0"/>
      <w:jc w:val="left"/>
    </w:pPr>
    <w:rPr>
      <w:sz w:val="18"/>
      <w:szCs w:val="18"/>
    </w:rPr>
  </w:style>
  <w:style w:type="paragraph" w:styleId="4">
    <w:name w:val="header"/>
    <w:basedOn w:val="1"/>
    <w:link w:val="7"/>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字符"/>
    <w:basedOn w:val="6"/>
    <w:link w:val="4"/>
    <w:uiPriority w:val="99"/>
    <w:rPr>
      <w:sz w:val="18"/>
      <w:szCs w:val="18"/>
    </w:rPr>
  </w:style>
  <w:style w:type="character" w:customStyle="1" w:styleId="8">
    <w:name w:val="页脚 字符"/>
    <w:basedOn w:val="6"/>
    <w:link w:val="3"/>
    <w:uiPriority w:val="99"/>
    <w:rPr>
      <w:sz w:val="18"/>
      <w:szCs w:val="18"/>
    </w:rPr>
  </w:style>
  <w:style w:type="character" w:styleId="9">
    <w:name w:val="Placeholder Text"/>
    <w:basedOn w:val="6"/>
    <w:semiHidden/>
    <w:uiPriority w:val="99"/>
    <w:rPr>
      <w:color w:val="666666"/>
    </w:rPr>
  </w:style>
  <w:style w:type="character" w:customStyle="1" w:styleId="10">
    <w:name w:val="标题 4 字符"/>
    <w:basedOn w:val="6"/>
    <w:link w:val="2"/>
    <w:uiPriority w:val="9"/>
    <w:rPr>
      <w:rFonts w:asciiTheme="majorHAnsi" w:hAnsiTheme="majorHAnsi" w:eastAsiaTheme="majorEastAsia" w:cstheme="majorBidi"/>
      <w:b/>
      <w:bCs/>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040EE4B5-3A80-4DD6-9F3E-1BA8AC025BC2}">
  <ds:schemaRefs/>
</ds:datastoreItem>
</file>

<file path=docProps/app.xml><?xml version="1.0" encoding="utf-8"?>
<Properties xmlns="http://schemas.openxmlformats.org/officeDocument/2006/extended-properties" xmlns:vt="http://schemas.openxmlformats.org/officeDocument/2006/docPropsVTypes">
  <Pages>11</Pages>
  <Words>5434</Words>
  <Characters>5936</Characters>
  <Lines>0</Lines>
  <Paragraphs>0</Paragraphs>
  <TotalTime>0</TotalTime>
  <ScaleCrop>false</ScaleCrop>
  <LinksUpToDate>false</LinksUpToDate>
  <CharactersWithSpaces>6016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2026-06-26T08:44:04Z</dcterms:created>
  <dc:creator>Administrator</dc:creator>
  <cp:lastModifiedBy>孙倩影</cp:lastModifiedBy>
  <dcterms:modified xsi:type="dcterms:W3CDTF">2026-06-26T08:46:20Z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eyJoZGlkIjoiMjg5MjQyZmI2OWI3NTBmYTNmODQwNzY2ZDdjOWQ1NGQiLCJ1c2VySWQiOiI4ODQ2MTYzNjIifQ==</vt:lpwstr>
  </property>
  <property fmtid="{D5CDD505-2E9C-101B-9397-08002B2CF9AE}" pid="3" name="KSOProductBuildVer">
    <vt:lpwstr>2052-12.1.0.26895</vt:lpwstr>
  </property>
  <property fmtid="{D5CDD505-2E9C-101B-9397-08002B2CF9AE}" pid="4" name="ICV">
    <vt:lpwstr>F43C5728830547898A7B71E3C13D0459_12</vt:lpwstr>
  </property>
</Properties>
</file>